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C-5031/2007 vom 20. Juni 2008</w:t>
      </w:r>
    </w:p>
    <w:p>
      <w:r>
        <w:t>Bundesverwaltungsgericht, 2008-06-20, DE</w:t>
      </w:r>
    </w:p>
    <w:p>
      <w:r>
        <w:rPr>
          <w:b/>
        </w:rPr>
        <w:t xml:space="preserve">Quelle: </w:t>
      </w:r>
      <w:r>
        <w:t>https://mcp.opencaselaw.ch/entscheid/bvger_C-5031_2007</w:t>
      </w:r>
    </w:p>
    <w:p>
      <w:r>
        <w:t>FR: TAF C-5031/2007 du 20 juin 2008</w:t>
      </w:r>
    </w:p>
    <w:p>
      <w:r>
        <w:t>IT: TAF C-5031/2007 del 20 giugno 2008</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Verfügungen des BFM betreffend Ausdehnung der kantonalen Wegweisung auf das ganze Gebiet der Schweiz. In diesem Bereich entscheidet das Bundesverwaltungsgericht endgültig (Art. 83 Bst. c Ziff. 4 des Bundesgerichtsgesetzes vom 17. Juni 2005 [BGG, SR 173.110]).</w:t>
      </w:r>
    </w:p>
    <w:p>
      <w:r>
        <w:rPr>
          <w:b/>
        </w:rPr>
        <w:t>E. 1.2</w:t>
      </w:r>
    </w:p>
    <w:p>
      <w:r>
        <w:t>Der Beschwerdeführer ist als Verfügungsadressat aufgrund von Art. 48 Abs. 1 VwVG zur Anfechtung der Verfügung legitimiert. Auf die frist- und formgerecht eingereichte Beschwerde ist somit einzutreten (Art. 49 ff. VwVG).</w:t>
      </w:r>
    </w:p>
    <w:p>
      <w:r>
        <w:rPr>
          <w:b/>
        </w:rPr>
        <w:t>E. 2.1</w:t>
      </w:r>
    </w:p>
    <w:p>
      <w:r>
        <w:t>Mit Inkrafttreten des Bundesgesetzes vom 16. Dezember 2005 über die Ausländerinnen und Ausländer (AuG, SR 142.20) am 1. Januar 2008 wurde das aANAG aufgehoben (Art. 125 i.V.m. Anhang I AuG). Das bisherige Recht bleibt jedoch auf Verfahren anwendbar, die vor dem Inkrafttreten des AuG eingeleitet wurden (Art. 126 Abs. 1 AuG; vgl. dazu die Urteile des Bundesverwaltungsgerichts C-6405/2007 vom 28. Februar 2008 E. 1.3, E. 2 und C-3912/2007 vom 14. Februar 2008 E. 2 je mit weiteren Hinweisen).</w:t>
      </w:r>
    </w:p>
    <w:p>
      <w:r>
        <w:rPr>
          <w:b/>
        </w:rPr>
        <w:t>E. 2.2</w:t>
      </w:r>
    </w:p>
    <w:p>
      <w:r>
        <w:t>Gemäss der Übergangsbestimmung von Art. 126 Abs. 2 AuG ist auf Gesuche, welche vor Inkrafttreten des AuG am 1. Januar 2008 eingereicht wurden, das neue Verfahrensrecht anwendbar. Sofern das VGG nichts anderes bestimmt, richtet sich das Verfahren vor dem Bundesverwaltungsgericht nach dem VwVG (Art. 37 VGG).</w:t>
      </w:r>
    </w:p>
    <w:p>
      <w:r>
        <w:rPr>
          <w:b/>
        </w:rPr>
        <w:t>E. 3.1</w:t>
      </w:r>
    </w:p>
    <w:p>
      <w:r>
        <w:t>Gemäss Art. 12 Abs. 3 aANAG kann die eidgenössische Behörde die Pflicht zur Ausreise aus einem Kanton auf die ganze Schweiz ausdehnen. Art. 17 Abs. 2 der Vollziehungsverordnung vom 1. März 1949 zum Bundesgesetz über Aufenthalt und Niederlassung der Ausländer (aANAV, AS 1949 228) präzisiert diese Norm, indem die Ausdehnung zur Regel erklärt wird, von der nur abzuweichen ist, wenn dem Ausländer aus besonderen Gründen Gelegenheit geboten werden soll, in einem anderen Kanton um eine Bewilligung nachzusuchen. Die Ausdehnung ist somit nur noch der konsequente Vollzug eines rechtskräftigen Entscheides und wird daher nur in Ausnahmefällen unterbleiben (vgl. das Urteil des Bundesverwaltungsgerichtes C-604/2006 vom 15. August 2007 E. 2.1 mit weiteren Hinweisen).</w:t>
      </w:r>
    </w:p>
    <w:p>
      <w:r>
        <w:rPr>
          <w:b/>
        </w:rPr>
        <w:t>E. 3.2</w:t>
      </w:r>
    </w:p>
    <w:p>
      <w:r>
        <w:t>Zum Verständnis dieser Regelung ist vorweg auf Art. 1a aANAG hinzuweisen. Danach ist ein Ausländer dann zur Anwesenheit in der Schweiz berechtigt, wenn er über eine Aufenthalts- oder Niederlassungsbewilligung verfügt oder nach dem Gesetz keiner solchen bedarf (zu letzterem vgl. Art. 2 aANAG und Art. 1 aANAV). Besitzt er keine Bewilligung und kann er sich auch nicht auf ein gesetzliches Bleiberecht berufen, ist sein Aufenthalt illegal, und er ist von Gesetzes wegen verpflichtet, die Schweiz zu verlassen (Art. 12 und Art. 18 aANAG, vgl. auch (vgl.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(Andreas Zünd, Beendigung der Anwesenheit, Entfernung und Fernhaltung in: Peter Uebersax/Peter Münch/Thomas Geiser/Martin Arnold [Hrsg.], Ausländerrecht, Handbücher für die Anwaltspraxis Bd. VIII, Basel 2002, Rz. 6.53 mit Hinweisen). Zugleich ist die Wegweisung dessen logische und nicht in Frage zu stellende Konsequenz (Art. 12 Abs. 3 zweiter Satz aANAG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 14a aANAG, dazu weiter unten; vgl. ferner Wisard, a.a.O., S. 103).</w:t>
      </w:r>
    </w:p>
    <w:p>
      <w:r>
        <w:rPr>
          <w:b/>
        </w:rPr>
        <w:t>E. 3.3</w:t>
      </w:r>
    </w:p>
    <w:p>
      <w:r>
        <w:t>Das Gesagte gilt grundsätzlich auch für die ebenfalls exekutorisch wirkende Ausdehnungsverfügung. Wurde der Ausländer im Anschluss an einen negativen kantonalen Bewilligungsentscheid aus dem Kanton weggewiesen, und hat er als Folge davon kein Recht zum Aufenthalt in der Schweiz (Art. 1a aANAG), kann er die Ausreiseverpflichtung selbst nicht zum Thema des Verfahrens machen (vorbehalten bleiben auch hier Vollzugshindernisse im Sinne von Art. 14a aANAG).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diesen auch nur zu dulden (Art. 18 aANAG; vorbehalten bleiben das Asylrecht, das hier nicht Bedeutung ist, sowie die vorläufige Aufnahme, dazu weiter hinten).</w:t>
      </w:r>
    </w:p>
    <w:p>
      <w:r>
        <w:rPr>
          <w:b/>
        </w:rPr>
        <w:t>E. 3.4</w:t>
      </w:r>
    </w:p>
    <w:p>
      <w:r>
        <w:t>Vor diesem Hintergrund ist auch die Regelung des Art. 17 Abs. 2 aANAV zu verstehen, wonach auf die Ausdehnung verzichtet werden kann, wenn der ausländischen Person aus besonderen Gründen Gelegenheit gegeben werden soll, in einem anderen Kanton um eine Bewilligung nachzusuchen. Da auf der einen Seite der Verzicht auf die Ausdehnung an der Illegalität des Aufenthaltes nichts ändert, und es auf der anderen Seite nicht angeht, einen rechtswidrigen Zustand in Kauf zu nehmen, wird Art. 17 Abs. 2 aANAV praxisgemäss in dem Sinne ausgelegt, dass von einer Ausdehnung Abstand genommen wird, wenn in einem Drittkanton ein Bewilligungsverfahren hängig ist, und der Drittkanton der ausländischen Person den Aufenthalt während des Verfahrens gestattet. Eine analoge Regelung gegenüber dem wegweisenden Kanton ist nicht notwendig. Denn da die Ausdehnung gegenüber der kantonalen Wegweisung akzessorisch ist, sie also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w:t>
      </w:r>
    </w:p>
    <w:p>
      <w:r>
        <w:t>Der Beschwerdeführer besitzt nach der vom Migrationsamt am 10. Februar 2006 verfügten und mit dem Urteil des Bundesgerichts vom 17. April 2007 in Rechtskraft erwachsenen Nichtverlängerung der Aufenthaltsbewilligung keinen Rechtstitel, der ihm den weiteren rechtmässigen Verbleib in der Schweiz ermöglichen würde. Es wird in der Beschwerde sodann nicht geltend gemacht, dass ein anderer Kanton bereit wäre, den Aufenthalt des Beschwerdeführers zu regeln. Daher besteht kein Spielraum, um vom Grundsatz der Ausdehnung der kantonalen Wegweisung auf die ganze Schweiz abzuweichen. Das hat zur Folge, dass im vorliegenden Verfahren keine Argumente mehr vorgebracht werden können, die das rechtskräftig abgeschlossene Aufenthaltsverfahren betreffen, bzw. dort hätten geltend gemacht werden müssen (vgl. die Hinweise in der Beschwerde auf die lange Aufenthaltsdauer, die bestehende Ehe mit einer Schweizerin und das Kindsverhältnis). Die Ausdehnung der kantonalen Wegweisung ist somit zu Recht ergangen.</w:t>
      </w:r>
    </w:p>
    <w:p>
      <w:r>
        <w:rPr>
          <w:b/>
        </w:rPr>
        <w:t>E. 5</w:t>
      </w:r>
    </w:p>
    <w:p>
      <w:r>
        <w:t>Unabhängig von der Bestätigung der Ausdehnungsverfügung bleibt zu prüfen, ob dem Vollzug der Wegweisung Hindernisse entgegenstehen (Art. 14a Abs. 2 - 4 aANAG) und das zuständige Bundesamt deshalb gestützt auf Art. 14a Abs. 1 aANAG die vorläufige Aufnahme hätte verfügen müssen.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 M. 1990, S. 200). Vollzugshindernisse können somit die Ausdehnungsverfügung als solche nicht in Frage stellen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darstellen würde (Art. 14a Abs. 2 - 4 aANAG).</w:t>
      </w:r>
    </w:p>
    <w:p>
      <w:r>
        <w:rPr>
          <w:b/>
        </w:rPr>
        <w:t>E. 6.1</w:t>
      </w:r>
    </w:p>
    <w:p>
      <w:r>
        <w:t>Der Beschwerdeführer nimmt in seiner Beschwerde ausdrücklich Bezug auf Art. 14a Abs. 1 aANAG. Zur Begründung führt er aus, dass er seit 14 Jahren in der Schweiz lebe und seit 1995 mit einer Schweizer Bürgerin verheiratet sei. Sie hätten einen gemeinsamen Sohn, Jahrgang 1999. Somit bestehe kein Zweifel daran, dass er vollständig in der Schweiz integriert sei und keine familiären Bezüge zum Kosovo mehr bestünden. Die "Ausweisung" sei im Sinne von Art. 14a Abs. 1 aANAG unzumutbar und mit der humanitären Tradition der Schweiz nicht vereinbar.</w:t>
      </w:r>
    </w:p>
    <w:p>
      <w:r>
        <w:rPr>
          <w:b/>
        </w:rPr>
        <w:t>E. 6.2</w:t>
      </w:r>
    </w:p>
    <w:p>
      <w:r>
        <w:t>Zunächst ist darauf hinzuweisen, dass es bei der Beurteilung der Zumutbarkeit nicht auf die Verhältnisse im Gastland ankommt, sondern in erster Linie auf die Situation im Zielstaat (vgl. das Urteil des Bundesverwaltungsgerichts C-6405/2007 vom 28. Februar 2008 E. 6.2 mit weiteren Hinweisen). Als unzumutbar wird der Vollzug der Wegweisung insbesondere dann angesehen, wenn eine konkrete Gefährdung für die betroffene Person besteht. Diese Gefährdung kann bestehen aufgrund der im Heimatland herrschenden politischen Lage, die sich durch Krieg, Bürgerkrieg oder durch eine Situation allgemeiner Gewalt kennzeichnet. Denkbar ist eine konkrete Gefährdung auch aufgrund anderer Gefahrenmomente, wie beispielsweise, dass eine notwendige medizinische Behandlung nicht erhältlich ist oder die betroffene Person sich sonstwie einer existenzgefährdenden Situation ausgesetzt sähe (vgl. das Urteil des Bundesverwaltungsgerichts C-3411/2007 vom 19. Oktober 2007 E. 4.4). Eine solche Gefährdung macht der Beschwerdeführer weder geltend noch ergeben sich entsprechende Hinweise aus den Akten. Die vom Beschwerdeführer vorgebrachten Einwände zielen vielmehr auf den weiteren Verbleib in der Schweiz und können deshalb im vorliegenden Verfahren nicht gehört werden (vgl. oben E. 3.2). Der Vollzug der Wegweisung ist vorliegend somit zumutbar.</w:t>
      </w:r>
    </w:p>
    <w:p>
      <w:r>
        <w:rPr>
          <w:b/>
        </w:rPr>
        <w:t>E. 6.3</w:t>
      </w:r>
    </w:p>
    <w:p>
      <w:r>
        <w:t>Was die anderen möglichen Vollzugshindernisse anbelangt - die Unzulässigkeit und die Unmöglichkeit des Vollzugs der Wegweisung -, ist aufgrund der Akten davon auszugehen, dass solche nicht vorliegen.</w:t>
      </w:r>
    </w:p>
    <w:p>
      <w:r>
        <w:rPr>
          <w:b/>
        </w:rPr>
        <w:t>E. 6.4</w:t>
      </w:r>
    </w:p>
    <w:p>
      <w:r>
        <w:t>Zusammenfassend ergibt sich, dass sich der Vollzug der Wegweisung des Beschwerdeführers als möglich, zulässig und zumutbar erweist (Art. 14a Abs. 2 - 4 aANAG). Die Vorinstanz hat zu Recht keine vorläufige Aufnahme verfügt.</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Verfahrensausgang sind die Kosten dem Beschwerdeführer aufzuerlegen (Art. 63 Abs. 1 VwVG i.V.m. Art. 2 ff.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