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C-5029/2012 vom 28. Februar 2013</w:t>
      </w:r>
    </w:p>
    <w:p>
      <w:r>
        <w:t>Bundesverwaltungsgericht, 2013-02-28, DE</w:t>
      </w:r>
    </w:p>
    <w:p>
      <w:r>
        <w:rPr>
          <w:b/>
        </w:rPr>
        <w:t xml:space="preserve">Quelle: </w:t>
      </w:r>
      <w:r>
        <w:t>https://mcp.opencaselaw.ch/entscheid/bvger_C-5029_2012</w:t>
      </w:r>
    </w:p>
    <w:p>
      <w:r>
        <w:t>FR: TAF C-5029/2012 du 28 février 2013</w:t>
      </w:r>
    </w:p>
    <w:p>
      <w:r>
        <w:t>IT: TAF C-5029/2012 del 28 febbraio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Beschwerdeführenden sind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philippinischen Staatsangehörigen um Erteilung eines Visums für einen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entsprechenden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philippinische Staatsangehörige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6.1</w:t>
      </w:r>
    </w:p>
    <w:p>
      <w:r>
        <w:t>In den Philippinen sind breite Bevölkerungsschichten von vergleichs­weise kargen wirtschaftlichen und sozialen Lebensbedingungen betroffen. Obwohl das Land in den letzten Jahren stabile wirtschaftliche Wachstumsraten verzeichnete, bleibt die Armut ein ungelöstes Problem. Nach Angaben der Weltbank ist der Anteil der in Armut lebenden Bevölkerung sogar von 30% im Jahr 2003 auf 33% im Jahr 2006 gestiegen. Aktuellere Zahlen liegen keine vor. Auch die Arbeitslosigkeit und die Unterbeschäftigung bleiben ein drängendes Problem. Die Arbeitslosenrate ist zwar 2011 leicht gesunken und betrug noch 6,4% (geschätzt). Zu den offiziell Arbeitslosen kommen aber ungefähr 19% Unterbeschäftigte dazu. Jedes Jahr verlassen mehr als eine Million Menschen das Land, um im Ausland Arbeit zu suchen, wobei die Tendenz zunehmend ist. Die Entsendung von Gastarbeitern ins Ausland hilft, den heimischen Arbeitsmarkt zu entlasten, und sie dient darüber hinaus auch der Erwirtschaftung von Devisen und der Ankurbelung des Inlandkonsums (Quelle: Deutsches Auswärtiges Amt: www.auswaertiges-amt.de &gt; Aussen- und Europapolitik &gt; Länderinformationen &gt; Philippinen &gt; Wirtschaft, Stand: September 2012, besucht im Januar 2013). Vor allem in der jün­geren Bevölkerung ist ein starker Migrationsdruck festzustellen. Dabei gilt auch Europa und damit die Schweiz als Zieldestination vieler Auswanderer im erwerbsfähigen Alter, welche sich hier unter besseren Lebensbedingungen eine neue Existenz aufbauen möchten.</w:t>
      </w:r>
    </w:p>
    <w:p>
      <w:r>
        <w:rPr>
          <w:b/>
        </w:rPr>
        <w:t>E. 6.2</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6.3</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25-jährige, unverheiratete Frau und Mutter eines dreijährigen Knaben. Über den Vater des Kindes ist weiter nichts bekannt.</w:t>
      </w:r>
    </w:p>
    <w:p>
      <w:r>
        <w:rPr>
          <w:b/>
        </w:rPr>
        <w:t>E. 7.2</w:t>
      </w:r>
    </w:p>
    <w:p>
      <w:r>
        <w:t>Den von den Beschwerdeführenden ins Feld geführten familiären Verpflichtungen kann weder einzeln noch in ihrer Gesamtheit besonderes Gewicht zuerkannt werden. Was das eigene Kind betrifft, so könnte dieses die Gesuchstellerin unter den konkret gegebenen Umständen kaum von einer Emigration abhalten. Die von ihr selbst bzw. den Beschwerdeführenden angedeuteten familiären Strukturen dürften Möglichkeiten einer Betreuung - über die deklarierten zwei Monate hinaus - zumindest nicht ausschliessen. Zur Familie werden von den Beschwerdeführenden auch Onkel und Tanten gezählt, die während der Abwesenheit der Gesuchstellerin deren Betreuungsaufgaben übernehmen würden. Kommt hinzu, dass Emigrationswillige in solchen Situationen die Hoffnung haben, ihr Kind später ins Ausland nachziehen zu können. Was die Verpflichtung gegenüber der Grossmutter betrifft, so lassen die Schilderungen und Belege nicht auf eine notwendige, engmaschige Betreuung schliessen, die dazu noch nur durch die Gesuchstellerin erbracht werden könnte. Gemäss dem mit der Beschwerde eingereichten Arztzeugnis leidet die Grossmutter seit etwa acht Jahren an Diabetes mellitus und benötigt entsprechende Medikamente. Auch in diesem Zusammenhang gilt festzustellen, dass die Betreuung während einer zweimonatigen Auslandabwesenheit der Gesuchstellerin offenbar problemlos innerhalb der Familie sichergestellt werden kann.</w:t>
      </w:r>
    </w:p>
    <w:p>
      <w:r>
        <w:rPr>
          <w:b/>
        </w:rPr>
        <w:t>E. 7.3</w:t>
      </w:r>
    </w:p>
    <w:p>
      <w:r>
        <w:t>Auf Verhältnisse, die die Gesuchstellerin nachhaltig von einer Emigration abhalten könnten, kann auch in wirtschaftlicher Hinsicht nicht geschlossen werden. Die Gesuchstellerin hatte in ihrem Visumsantrag die Frage nach einer eigenen beruflichen Tätigkeit unbeantwortet gelassen. In ihrer Stellungnahme vom 3. August 2012 zum Visumsgesuch hielt die kantonale Migrationsbehörde (offenbar aufgrund eines entsprechenden Vermerks der Schweizerischen Auslandvertretung) fest, dass die Gesuchstellerin von ihrer Mutter finanziell unterstützt werde. Zwar widersetzen sich die Beschwerdeführenden dem Eindruck, wonach die Gesuchstellerin in ärmlichen Verhältnissen lebe. Ihre Äusserungen bleiben aber oberflächlich, unbestimmt und auch unbelegt. Selbst wenn davon ausgegangen werden könnte, dass es sich bei der einzigen konkreten Angabe (zur Grösse des landwirtschaftlich genutzten Landes) um einen Irrtum zu ihren Ungunsten handelt (die Beschwerdeführenden schreiben in ihrer Rechtsmitteleingabe von 2'000 m2), so bliebe dennoch völlig unklar, welche Erträge erwirtschaftet und wie diese innerhalb der Familie verteilt werden.</w:t>
      </w:r>
    </w:p>
    <w:p>
      <w:r>
        <w:rPr>
          <w:b/>
        </w:rPr>
        <w:t>E. 7.4</w:t>
      </w:r>
    </w:p>
    <w:p>
      <w:r>
        <w:t>Tritt ein Weiteres hinzu: Aus einer Stellungnahme der Migrationsbehörde des Kantons Solothurn vom 3. August 2012 zum Visumsgesuch bzw. aus von ihr edierten Dokumenten ergibt sich, dass die Beschwerdeführerin 2 (also die Mutter der Gesuchstellerin) im Mai 1996 mit einem für 90 Tage gültigen Touristenvisum in die Schweiz gelangte, hier kurz darauf ein Ehevorbereitungsverfahren einleitete und Ende August 1996 einen Schweizer Bürger heiratete, worauf ihr weiterer Aufenthalt geregelt wurde. Die damals 9-jährige Tochter (die Gesuchstellerin) blieb im Heimatland zurück und wurde dort von den Grosseltern mütterlicherseits betreut. Im Juni 2003 wurde die erste Ehe der Beschwerdeführerin 2 geschieden und im September 2011 heiratete sie ihren jetzigen Ehemann. Dazwischen, im Juni 2003, beantragte sie den Familiennachzug zugunsten ihrer mittlerweile 16-jährigen Tochter, was aber von der Migrationsbehörde des Kantons Solothurn in einer Verfügung vom 12. Januar 2004 abgelehnt wurde. Im April 2004 - also nur wenige Monate später - beantragte die Beschwerdeführerin 2 bei der kantonalen Migrationsbehörde erneut eine Aufenthaltsregelung ihrer Tochter; diesmal für einen einjährigen Sprachschulbesuch. Auch über dieses Gesuch wurde von der zuständigen Behörde abschlägig entschieden, u.a. weil eine Wiederausreise nicht als gesichert betrachtet wurde (Verfügung der Migrationsbehörde des Kantons Solothurn vom 18. März 2005). Wohl sind seit diesen Ereignissen acht Jahre vergangen und ist die Gesuchstellerin inzwischen längst volljährig. Auffallend sind allerdings die Parallelen in den persönlichen Verhältnissen der Mutter damals und der Tochter heute. Tritt hinzu, dass die Beschwerdeführenden die genannten Ereignisse nicht nur nicht erwähnen, sondern in ihrer Rechtsmitteleingabe an das Bundesverwaltungsgericht (Ziff. 14) tatsachenwidrig behaupten, es seien nie Anstalten getroffen worden, um die Gesuchstellerin in die Schweiz nachzuziehen.</w:t>
      </w:r>
    </w:p>
    <w:p>
      <w:r>
        <w:rPr>
          <w:b/>
        </w:rPr>
        <w:t>E. 7.5</w:t>
      </w:r>
    </w:p>
    <w:p>
      <w:r>
        <w:t>Vor dem aufgezeigten allgemeinen und persönlichen Hintergrund konnte die Vorinstanz demnach davon ausgehen, dass keine hinreichende Gewähr für die fristgerechte und anstandslose Wiederausreise der Gesuchstellerin nach einem Besuchsaufenthalt besteht.</w:t>
      </w:r>
    </w:p>
    <w:p>
      <w:r>
        <w:rPr>
          <w:b/>
        </w:rPr>
        <w:t>E. 7.6</w:t>
      </w:r>
    </w:p>
    <w:p>
      <w:r>
        <w:t>Gründe für die Ausstellung eines Visums mit räumlich beschränkter Gültigkeit wurden von den Beschwerdeführenden nicht geltend gemacht und solche sind auch nicht ersichtlich. Zu Recht machen die Beschwerdeführenden nicht geltend, familiäre Kontakte nur durch Einreisen der Gesuchstellerin in die Schweiz aufrechterhalten zu können.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Beschwerdeführenden kostenpflichtig (Art. 63 Abs. 1 VwVG, Art. 1, 2 und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