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C-5026/2010 vom 29. September 2011</w:t>
      </w:r>
    </w:p>
    <w:p>
      <w:r>
        <w:t>Bundesverwaltungsgericht, 2011-09-29, DE</w:t>
      </w:r>
    </w:p>
    <w:p>
      <w:r>
        <w:rPr>
          <w:b/>
        </w:rPr>
        <w:t xml:space="preserve">Quelle: </w:t>
      </w:r>
      <w:r>
        <w:t>https://mcp.opencaselaw.ch/entscheid/bvger_C-5026_2010</w:t>
      </w:r>
    </w:p>
    <w:p>
      <w:r>
        <w:t>FR: TAF C-5026/2010 du 29 septembre 2011</w:t>
      </w:r>
    </w:p>
    <w:p>
      <w:r>
        <w:t>IT: TAF C-5026/2010 del 29 settembre 2011</w:t>
      </w:r>
    </w:p>
    <w:p>
      <w:pPr>
        <w:pStyle w:val="Heading2"/>
      </w:pPr>
      <w:r>
        <w:t>Regeste</w:t>
      </w:r>
    </w:p>
    <w:p>
      <w:r>
        <w:t>Einreiseverbot</w:t>
      </w:r>
    </w:p>
    <w:p>
      <w:pPr>
        <w:pStyle w:val="Heading2"/>
      </w:pPr>
      <w:r>
        <w:t>Erwägungen</w:t>
      </w:r>
    </w:p>
    <w:p>
      <w:r>
        <w:rPr>
          <w:b/>
        </w:rPr>
        <w:t>E. 1.1</w:t>
      </w:r>
    </w:p>
    <w:p>
      <w:r>
        <w:t>Gemäss Art. 31 des Verwaltungsverfahrensgesetzes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16. April 2006, S. 1-32]).</w:t>
      </w:r>
    </w:p>
    <w:p>
      <w:r>
        <w:rPr>
          <w:b/>
        </w:rPr>
        <w:t>E. 4.1</w:t>
      </w:r>
    </w:p>
    <w:p>
      <w:r>
        <w:t>Auf den 1. Januar 2011 trat als Folge der Weiterentwicklung des Schengen-Besitzstandes eine neue Fassung des in Art. 67 AuG geregel­ten Einreiseverbots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in der vorliegenden Konstellation mit den obgenannten Grundsätzen vereinbar (vgl. BBl 2009 8896). Da der in casu angewendete bisherige Art. 67 Abs. 1 Bst. a und c AuG mit dem neuen Art. 67 Abs. 2 Bst. a und c AuG identisch ist und vorliegend kein Einreiseverbot mit einer Dauer von mehr als fünf Jahren zur Diskussion steht, ändert sich für den Be­schwerdeführer im Ergebnis ohnehin nichts.</w:t>
      </w:r>
    </w:p>
    <w:p>
      <w:r>
        <w:rPr>
          <w:b/>
        </w:rPr>
        <w:t>E. 4.2</w:t>
      </w:r>
    </w:p>
    <w:p>
      <w:r>
        <w:t>Das Einreiseverbot ist keine Sanktion für vergangenes Fehlverhalten, sondern eine Massnahme zur Abwendung künftiger Störungen der öffent­lichen Sicherheit und Ordnung (siehe Botschaft zum Bundesgesetz über Ausländerinnen und Ausländer vom 8. März 2002, BBl 2002 3813). Die öffentliche Sicherheit und Ordnung im Sinne von Art. 67 Abs. 1 Bst. a AuG (seit dem 1. Januar 2011: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In diesem Sinne liegt nach Art. 80 Abs. 1 Bst. a VZAE ein Verstoss gegen die öffentliche Sicherheit und Ordnung unter anderem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4.3</w:t>
      </w:r>
    </w:p>
    <w:p>
      <w:r>
        <w:t>In Bezug auf die Verfehlungen, die dem Beschwerdeführer vorgeworfen werden,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C-7263/2008 vom 31. August 2010 E. 4.1 mit Hinweis).</w:t>
      </w:r>
    </w:p>
    <w:p>
      <w:r>
        <w:rPr>
          <w:b/>
        </w:rPr>
        <w:t>E. 5.1</w:t>
      </w:r>
    </w:p>
    <w:p>
      <w:r>
        <w:t>Dem Beschwerdeführer wird in der angefochtenen Verfügung illegale Einreise und rechtswidriger Aufenthalt vorgeworfen. Auf Grund dieser Verfehlungen wurde er ab dem 9. Juli 2010 bis zum Tag seiner Ausschaffung nach Pristina, dem 12. Juli 2010, in Ausschaffungshaft versetzt.</w:t>
      </w:r>
    </w:p>
    <w:p>
      <w:r>
        <w:rPr>
          <w:b/>
        </w:rPr>
        <w:t>E. 5.2</w:t>
      </w:r>
    </w:p>
    <w:p>
      <w:r>
        <w:t>Gemäss Art. 5 AuG benötigt eine ausländische Person für die Einreise in die Schweiz ein anerkanntes Ausweispapier und ein Visum, es sei denn, sie gehöre einer von diesen Verpflichtungen befreiten Personengruppe an. Als Staatsangehöriger von Kosovo mit dortigem Wohnsitz konnte sich der Beschwerdeführer im fraglichen Zeitraum auf keine derartige Befreiung berufen (vgl. Art. 4, 5 und 6 der Verordnung vom 22. Oktober 2008 über die Einreise und die Visumserteilung [VEV, SR 142.204]).</w:t>
      </w:r>
    </w:p>
    <w:p>
      <w:r>
        <w:rPr>
          <w:b/>
        </w:rPr>
        <w:t>E. 5.3</w:t>
      </w:r>
    </w:p>
    <w:p>
      <w:r>
        <w:t>Der Beschwerdeführer reiste am 25. April 2010 in die Schweiz ein, im Bewusstsein nicht im Besitze der dafür notwendigen Dokumente zu sein. In der Folge verweilte er bis zur polizeilichen Kontrolle am 7. Juli 2010 während 74 Tagen vorwiegend im Raum Zürich. Die Rechtswidrigkeit dieses Aufenthaltes, welche mit der illegalen Einreise begann (vgl. Art. 5 Abs. 1 Bst. a), ergibt sich aus der Bewilligungspflicht nach Art. 10 ff. AuG. Das an den Tag gelegte Verhalten des Beschwerdeführers rechtfertigt grundsätzlich eine Fernhaltemassnahme gestützt auf Art. 67 Abs. 2 Bst. a AuG. Kommt hinzu, dass er in Ausschaffungshaft genommen und ausgeschafft werden musste, weshalb er auch diesbezüglich Gründe für die Verhängung einer Fernhaltemassnahme gesetzt hat (vgl. Art. 67 Abs. 2 Bst. c AuG).</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Haefelin/Georg Müller/Felix Uhlmann, Allgemeines Verwaltungsrecht, 5. Aufl., Zürich/Basel/Genf/St. Gallen 2006, Rz. 613 ff.).</w:t>
      </w:r>
    </w:p>
    <w:p>
      <w:r>
        <w:rPr>
          <w:b/>
        </w:rPr>
        <w:t>E. 6.2</w:t>
      </w:r>
    </w:p>
    <w:p>
      <w:r>
        <w:t>Das Fehlverhalten des Beschwerdeführers wiegt objektiv nicht leicht. Der Missachtung ausländerrechtlicher Normen kommt im Interesse einer funktionierenden Rechtsordnung eine zentrale Bedeutung zu. Aber auch die subjektive Seite ist negativ zu werten. Der Beschwerdeführer hat sich bewusst über die einschlägigen ausländerrechtlichen Normen hinweggesetzt, gab der doch anlässlich der Einvernahme durch die Kantonspolizei Zürich vom 7. Juli 2010 zu Protokoll, er habe gewusst, dass er ein Visum brauchen würde. Aber er sei sich fast sicher gewesen kein solches zu erhalten, weshalb er illegal eingereist sei.</w:t>
      </w:r>
    </w:p>
    <w:p>
      <w:r>
        <w:rPr>
          <w:b/>
        </w:rPr>
        <w:t>E. 6.3</w:t>
      </w:r>
    </w:p>
    <w:p>
      <w:r>
        <w:t>Auf der anderen Seite stehen die Beziehung zu einer Schweizer Bürgerin sowie die beabsichtigte Heirat als private Interessen des Beschwerdeführers. Die diesbezüglich geltend gemachten persönlichen Interessen des Beschwerdeführers scheitern vorweg am fehlenden Aufenthaltsrecht, das nicht Gegenstand des vorliegenden Verfahrens ist. Was die Möglichkeit künftiger Kontakte zu seiner Verlobten betrifft, gilt festzuhalten, dass die persönlichen Kontakte auch auf andere Weise als durch Besuche in der Schweiz gepflegt werden können (Briefverkehr, Telefonate, Internet oder durch Reisen der Verlobten in den Aufenthaltsstaat des Beschwerdeführers). Ausserdem gilt das Einreiseverbot nicht absolut. Dem Beschwerdeführer steht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C-8229/2008 vom 8. Juli 2009 E. 6.4 mit Hinweisen).</w:t>
      </w:r>
    </w:p>
    <w:p>
      <w:r>
        <w:rPr>
          <w:b/>
        </w:rPr>
        <w:t>E. 7</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 Es liegen keine besonderen Gründe vor, die es rechtfertigen würden, in casu von der bisherigen Praxis abzuweichen.</w:t>
      </w:r>
    </w:p>
    <w:p>
      <w:r>
        <w:rPr>
          <w:b/>
        </w:rPr>
        <w:t>E. 8</w:t>
      </w:r>
    </w:p>
    <w:p>
      <w:r>
        <w:t>Aus diesen Erwägungen ergibt sich, dass die angefochtene Verfügung im Lichte von Art. 49 VwVG nicht zu beanstanden ist. Die Beschwerde ist deshalb abzuweisen.</w:t>
      </w:r>
    </w:p>
    <w:p>
      <w:r>
        <w:rPr>
          <w:b/>
        </w:rPr>
        <w:t>E. 9</w:t>
      </w:r>
    </w:p>
    <w:p>
      <w:r>
        <w:t>Dem Ausgang des Verfahrens entsprechend wird der unterliegende Beschwerdeführer kostenpflichtig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