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C-5022/2018 vom 29. April 2021</w:t>
      </w:r>
    </w:p>
    <w:p>
      <w:r>
        <w:t>Bundesverwaltungsgericht, 2021-04-29, FR</w:t>
      </w:r>
    </w:p>
    <w:p>
      <w:r>
        <w:rPr>
          <w:b/>
        </w:rPr>
        <w:t xml:space="preserve">Quelle: </w:t>
      </w:r>
      <w:r>
        <w:t>https://mcp.opencaselaw.ch/entscheid/bvger_C-5022_2018</w:t>
      </w:r>
    </w:p>
    <w:p>
      <w:r>
        <w:t>FR: TAF C-5022/2018 du 29 avril 2021</w:t>
      </w:r>
    </w:p>
    <w:p>
      <w:r>
        <w:t>IT: TAF C-5022/2018 del 29 aprile 2021</w:t>
      </w:r>
    </w:p>
    <w:p>
      <w:pPr>
        <w:pStyle w:val="Heading2"/>
      </w:pPr>
      <w:r>
        <w:t>Regeste</w:t>
      </w:r>
    </w:p>
    <w:p>
      <w:r>
        <w:t>Droit à la rente</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 non réalisées en l'espèce - prévues à l'art. 32 de la loi du 17 juin 2005 sur le Tribunal administratif fédéral (LTAF, RS 173.32), le Tribunal connaît, en vertu de l'art. 31 LTAF en relation avec l'art. 33 let. d LTAF et l'art. 69 al. 1 let. b de la loi fédérale du 19 juin 1959 sur l'assurance-invalidité (LAI, RS 831.20), des recours interjetés par des personnes résidant à l'étranger contre les décisions prises par l'autorité inférieure au sens de l'art. 5 PA. La procédure devant le Tribunal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En l'espèce, interjeté en temps utile et dans les formes requises (art. 60 LPGA et 50 al. 1 PA ; art. 52 al. 1 PA) par une personne directement touchée par la décision attaquée (art. 48 al. 1 PA et 59 LPGA) et l'avance sur les frais de procédure ayant été acquittée (art. 63 al. 4 PA), le recours est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Moser/Beusch/Kneubühler, Prozessieren vor dem Bundesverwaltungsgericht, 2e éd. 2013, no 1.55). Les parties ont le devoir de collaborer à l'instruction (art. 13 PA et 43 al. 3 LPGA ; arrêt du TAF C-6134/2017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et 132 V 215 consid. 3.1.1).</w:t>
      </w:r>
    </w:p>
    <w:p>
      <w:r>
        <w:rPr>
          <w:b/>
        </w:rPr>
        <w:t>E. 3.2</w:t>
      </w:r>
    </w:p>
    <w:p>
      <w:r>
        <w:t>Le tribunal des assurances sociales apprécie la légalité des décisions attaquées, en règle générale, d'après l'état de fait existant jusqu'au moment où la décision litigieuse a été rendue (en l'espèce, le 25 juin 2018). Les faits survenus postérieurement et qui ont modifié cette situation doivent normalement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(arrêts du Tribunal fédéral 9C_34/2017 du 20 avril 2017 consid. 5.2 et les références citées).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4</w:t>
      </w:r>
    </w:p>
    <w:p>
      <w:r>
        <w:t>La présente procédure présente un aspect transnational dans la mesure où le recourant est un ressortissant espagnol, domicilié en Espagne et ayant travaillé en Suisse.</w:t>
      </w:r>
    </w:p>
    <w:p>
      <w:r>
        <w:rPr>
          <w:b/>
        </w:rPr>
        <w:t>E. 4.1</w:t>
      </w:r>
    </w:p>
    <w:p>
      <w:r>
        <w:t>La cause doit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règlement no 883/2004, RS 0.831.109.268.1), ainsi qu'au règlement (CE) no 987/2009 du Parlement européen et du Conseil du 16 septembre 2009 fixant les modalités d'application du règlement (CE) no 883/2004 (ci-après: règlement no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no 883/2004 par les règlements (UE) no 1244/2010 (RO 2015 343), no 465/2012 (RO 2015 345) et no 1224/2012 (RO 2015 353). Conformément à l'art. 4 du règlement (CE) no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no 883/2004, en relation avec l'annexe VII dudit règlement ; ATF 130 V 253 consid. 2.4 ; arrêt du Tribunal fédéral 9C_573/2012 du 16 janvier 2013 consid. 4).</w:t>
      </w:r>
    </w:p>
    <w:p>
      <w:r>
        <w:rPr>
          <w:b/>
        </w:rPr>
        <w:t>E. 4.2</w:t>
      </w:r>
    </w:p>
    <w:p>
      <w:r>
        <w:t>De jurisprudence constante,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5.1</w:t>
      </w:r>
    </w:p>
    <w:p>
      <w:r>
        <w:t>Selon l'art. 17 LPGA (ATF 141 V 9 consid. 2.3 et 130 V 343 consid. 3.5 ;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Aux termes de l'art. 87 al. 3 du règlement du 17 janvier 1961 sur l'assurance-invalidité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w:t>
      </w:r>
    </w:p>
    <w:p>
      <w:r>
        <w:rPr>
          <w:b/>
        </w:rPr>
        <w:t>E. 5.2</w:t>
      </w:r>
    </w:p>
    <w:p>
      <w:r>
        <w:t>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w:t>
      </w:r>
    </w:p>
    <w:p>
      <w:r>
        <w:rPr>
          <w:b/>
        </w:rPr>
        <w:t>E. 5.3</w:t>
      </w:r>
    </w:p>
    <w:p>
      <w:r>
        <w:t>En cas de recours, le même devoir d'examen matériel incombe au juge. En effet, le juge ne doit examiner comment l'administration a tranché la question de l'entrée en matière que lorsque ce point est litigieux. Ce contrôle par l'autorité judiciaire n'est en revanche pas nécessaire lorsque l'administration est entrée en matière sur la nouvelle demande (arrêt du Tribunal fédéral I 132/03 du 26 avril 2005 consid. 2 ; ATF 117 V 198 consid. 3a et 109 V 108 consid. 2).</w:t>
      </w:r>
    </w:p>
    <w:p>
      <w:r>
        <w:rPr>
          <w:b/>
        </w:rPr>
        <w:t>E. 6.1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6.5</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6.6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6.6.1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et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no 33).</w:t>
      </w:r>
    </w:p>
    <w:p>
      <w:r>
        <w:rPr>
          <w:b/>
        </w:rPr>
        <w:t>E. 6.6.2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no 49 consid. 5.5, 9C_876/2009 du 6 juillet 2010 consid. 2.2, 9C_24/2008 du 27 mai 2008 consid. 2.3.2 et 9C_201/2007 du 29 janvier 2008 consid. 3.2 ; Valterio, op. cit., art. 57 LAI nos 48 et 49).</w:t>
      </w:r>
    </w:p>
    <w:p>
      <w:r>
        <w:rPr>
          <w:b/>
        </w:rPr>
        <w:t>E. 6.6.3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TAF C 2843/2016 du 30 mai 2018 consid. 8.1 et 8.2; Valterio, op. cit., art. 57 LAI nos 7 et 42 ss, art. 59 LAI no 2).</w:t>
      </w:r>
    </w:p>
    <w:p>
      <w:r>
        <w:rPr>
          <w:b/>
        </w:rPr>
        <w:t>E. 6.6.4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no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et 9C_58/2011 du 25 mars 2011 consid. 3.3 ; arrêt du TAF C 2843/2016 du 30 mai 2018 consid. 8.2).</w:t>
      </w:r>
    </w:p>
    <w:p>
      <w:r>
        <w:rPr>
          <w:b/>
        </w:rPr>
        <w:t>E. 7</w:t>
      </w:r>
    </w:p>
    <w:p>
      <w:r>
        <w:t>Appelé à se prononcer, le Tribunal retient ce qui suit.</w:t>
      </w:r>
    </w:p>
    <w:p>
      <w:r>
        <w:rPr>
          <w:b/>
        </w:rPr>
        <w:t>E. 7.1</w:t>
      </w:r>
    </w:p>
    <w:p>
      <w:r>
        <w:t>Dans le cadre de la première demande, les diagnostics suivants avaient été retenus. Sur le plan cardio-respiratoire, les diagnostics relevants alors retenus par l'autorité inférieure étaient les suivants : une cardiopathie ischémique chronique, comprenant un status après un infarctus du myocarde inférieur le 11 janvier 2005, une cardiopathie ischémique chronique, comprenant un status après un infarctus du myocarde inférieur le 11 janvier 2005, un status après un arrêt cardio-circulatoire le 20 février 2010 et un syndrome cérébral organique léger persistant après une ischémie, comme diagnostics associés avec répercussion sur la capacité de travail, une bronchopathie obstructive chronique et un abus d'alcool avec l'hépatopathie (pces 47 et 55). Sur ce dernier diagnostic, la prise de position du service médical d'alors évoquait bien une bronchopathie chronique, sans plus de précision (pce 47), mais ni le formulaire E 213 du 29 octobre 2015 (pce 10) ni le rapport médical du 16 novembre 1999 (pce 2) n'apportent d'éclairage à ce sujet. Le Tribunal souligne que le rapport de consultation émanant du service de cardiologie du 16 juin 2014 attestait de l'absence d'angine de poitrine et de dyspnée (pce 36) et que le rapport clinique de consultation externe du 8 juin 2015 du Docteur Y._______ relatait de faibles limitations de l'activité physique quotidienne en cas de dyspnée à l'effort modéré (pce 39). Sur le plan cognitif, le rapport du 4 mars 2011 du Docteur U._______ faisait état de déficits discrets de consolidation/apprentissage à court terme, d'une bonne réponse aux indices sémantiques et d'une absence d'altération de la composante épisodique ou opérationnelle (pce 35).</w:t>
      </w:r>
    </w:p>
    <w:p>
      <w:r>
        <w:rPr>
          <w:b/>
        </w:rPr>
        <w:t>E. 7.2</w:t>
      </w:r>
    </w:p>
    <w:p>
      <w:r>
        <w:t>Sur la base de la prise de position du 14 avril 2016 de son service médical, l'autorité inférieure avait retenu une incapacité de travail dans la dernière activité exercée de jardinier de 90 % dès le 20 février 2010 et, dans l'exercice d'une activité respectant les limitations fonctionnelles, de 0 % avec une diminution de la capacité de gain de 20 %. Les limitations fonctionnelles retenues étaient les suivantes : port de charges limité à 3 kg, pas de travaux lourds, éviter l'exposition à la poussière, aux émanations, au froid, à l'humidité et aux intempéries Force est de constater qu'à l'époque, aucun médecin traitant ne s'était véritablement prononcé sur la capacité de travail du recourant. La seule pièce qui évoque une capacité de travail dans une activité légère était le formulaire E 213 du 29 octobre 2015, sans précision sur le sujet (pce 10), reprise comme telle par la prise de position du 14 avril 2016 du service médical de l'autorité inférieure. Cela n'avait pas empêché l'autorité inférieure de conclure à une capacité de travail entière dans une activité adaptée.</w:t>
      </w:r>
    </w:p>
    <w:p>
      <w:r>
        <w:rPr>
          <w:b/>
        </w:rPr>
        <w:t>E. 8.1</w:t>
      </w:r>
    </w:p>
    <w:p>
      <w:r>
        <w:t>Dans le cadre de la nouvelle demande, objet du présent recours, la situation médicale retenue par l'autorité inférieure se présente ainsi. S'agissant de l'état de santé, la seule pièce citée par l'autorité inférieure est le rapport du 5 avril 2017 de la Doctoresse Gg._______. Cette pièce est un rapport des urgences de l'Hôpital E._______, établi à la suite d'une consultation pour une dyspnée, (i.e. une gêne respiratoire ressentie). Cette pièce rapporte des plaintes du recourant et des douleurs au niveau de la zone proximale du myocarde inférieure, avec irradiation des zones thoraciques centrales et interscapulaires, le réveillant vers 7 heures 30. Le diagnostic posé était alors celui de fibrillation auriculaire avec réponse ventriculaire rapide et une angine hémodynamique secondaire (angine de poitrine ; pce 65). Cette pièce a permis à l'autorité inférieure, à la suite de son service médical, de conclure à une progression des troubles fonctionnels dus à une cardiopathie ischémique avec troubles du rythme cardiaque avec dyspnée et angine de poitrine secondaire (pces 75 et 80). De même, le rapport de consultation pour un syndrome d'apnée du sommeil daté du 13 décembre 2017 de la Doctoresse Hh._______ atteste ce diagnostic avec un indice d'apnée hypopnée de 16.0/15.0 et une limitation significative de l'activité physique quotidienne avec dyspnée sur un effort mineur (pce 66 p. 3). Sur le plan cognitif, le rapport clinique de consultation en neurologie du 30 novembre 2016 du Docteur Jj._______ atteste d'une déficience cognitive légère non progressive et de syncopes avec une étiologie peu claire (pce 63). L'autorité inférieure ne se prononce pas spécifiquement sur l'évolution sous cet angle, se contentant, d'une manière toute générale, de dire que les diagnostics restent les mêmes. Selon le service médical de l'autorité inférieure, les diagnostics n'ont pas changé, mais on observe une progression des troubles fonctionnels dus à une cardiopathie ischémique avec troubles du rythme cardiaque avec dyspnée et angine de poitrine secondaire (pce 75).</w:t>
      </w:r>
    </w:p>
    <w:p>
      <w:r>
        <w:rPr>
          <w:b/>
        </w:rPr>
        <w:t>E. 8.2</w:t>
      </w:r>
    </w:p>
    <w:p>
      <w:r>
        <w:t>S'agissant des répercussions de l'état de santé du recourant sur sa capacité de travail, l'autorité inférieure retient, sur la base du rapport précité du 5 avril 2017 de la Doctoresse Gg._______, une augmentation de 0 % à 20 % de l'incapacité de travail dans une activité adaptée (pce 65).</w:t>
      </w:r>
    </w:p>
    <w:p>
      <w:r>
        <w:rPr>
          <w:b/>
        </w:rPr>
        <w:t>E. 9.1.1</w:t>
      </w:r>
    </w:p>
    <w:p>
      <w:r>
        <w:t>Sur le plan cardio-respiratoire, la décision attaquée prend acte de l'aggravation des troubles fonctionnels se traduisant notamment par des dyspnées et une angine de poitrine. Ainsi que le Tribunal l'a relevé plus haut, les rapports versés au dossier dans le cadre de la première demande, parlaient d'absence d'angine de poitrine et de dyspnée (consid. 7.1), ce qui confirme bien une détérioration de l'état de santé du recourant. Il reste à savoir quelles sont les répercussions de cette détérioration sur la capacité de travail du recourant. A ce sujet, ni l'autorité inférieure ni son service médical ne discutent le rapport médical du 5 janvier 2018 établi par le Docteur Kk._______. Or, ce praticien atteste de l'impossibilité de réaliser quelque type d'activité professionnelle, ce qui se traduirait par une incapacité totale de travail dans toute activité. Ce médecin, qui suit régulièrement le recourant, évoque une dyspnée (i.e. une difficulté respiratoire) au moindre effort (pce 57). Ce diagnostic figure également dans le rapport de consultation pour un syndrome d'apnée du sommeil daté du 13 décembre 2017 et émanant du Docteur Ff._______ (pce 66 p. 1), dans le rapport de consultation pour un syndrome d'apnée du sommeil daté du 13 décembre 2017 de la Doctoresse Hh._______ (pce 66 p. 3), ainsi que dans le rapport clinique de consultation externe daté du 9 novembre 2016 et émanant du Docteur Ff._______ (pce 62). Si elle devait s'avérer, l'apparition de ce symptôme de dyspnée au moindre effort pourrait constituer une évolution notable de l'état de santé du recourant, susceptible d'avoir une répercussion très significative sur sa capacité de travail. A ce titre, le rapport de consultation pour un syndrome d'apnée du sommeil daté du 13 décembre 2017 de la Doctoresse Hh._______ atteste ce diagnostic avec un indice d'apnée hypopnée de 16.0/15.0 et une limitation significative de l'activité physique quotidienne avec dyspnée sur un effort mineur (pce 66 p. 3). Or, ces pièces médicales ne sont - encore une fois - pas discutées par l'autorité inférieure ou son service médical ; le Tribunal n'est donc pas en mesure d'évaluer correctement l'ampleur et l'impact de ces dyspnées. En particulier, il ne peut, en l'état, pas confirmer que ces dyspnées au moindre effort et le syndrome d'apnée du sommeil sont cohérents avec le taux de capacité de travail de 80 % retenu par l'autorité inférieure.</w:t>
      </w:r>
    </w:p>
    <w:p>
      <w:r>
        <w:rPr>
          <w:b/>
        </w:rPr>
        <w:t>E. 9.1.2</w:t>
      </w:r>
    </w:p>
    <w:p>
      <w:r>
        <w:t>Sur le plan cognitif, le rapport clinique de consultation en neurologie du 30 novembre 2016 du Docteur Jj._______ dit qu'un électroencéphalogramme était planifié suite à des syncopes (pce 63). On en ignore le résultat. Les syncopes semblent quant à elles être nouvellement apparues. En effet, il n'en était pas question lors de la première demande. Ce nouveau symptôme - aucun diagnostic à ce stade n'a été posé - parle possiblement, là aussi, en faveur d'une détérioration de l'état de santé du recourant depuis lors. Il va de soi que le diagnostic lié à ce symptôme est possiblement de nature à avoir une influence sur la capacité de travail, même dans une activité légère. Par ailleurs, selon la prise de position du service médical de l'autorité inférieure du 1er mars 2018, les problèmes cognitifs ne sont plus pertinents pour un emploi approprié et sont décrits comme étant progressifs (pce 75). Le rapport clinique de consultation en neurologie daté du 30 novembre 2016 du Docteur Ee._______atteste, contrairement à l'avis précité, d'une déficience cognitive légère non progressive (pce 63). Là aussi, la situation est peu claire.</w:t>
      </w:r>
    </w:p>
    <w:p>
      <w:r>
        <w:rPr>
          <w:b/>
        </w:rPr>
        <w:t>E. 9.1.3</w:t>
      </w:r>
    </w:p>
    <w:p>
      <w:r>
        <w:t>Sur le plan hépatique, selon un rapport clinique du 10 juillet 2015 du Docteur Z._______ certes produit au dossier dans le cadre de la décision initiale du 25 août 2016 , un début probable d'une maladie hépatique du foie avait été observé (pce 41). Le rapport E 213 du 29 octobre 2015 signé par le Docteur Dd._______ faisait état d'une stéatose hépatique (lésion du foie ; pce 10).</w:t>
      </w:r>
    </w:p>
    <w:p>
      <w:r>
        <w:rPr>
          <w:b/>
        </w:rPr>
        <w:t>E. 9.1.4</w:t>
      </w:r>
    </w:p>
    <w:p>
      <w:r>
        <w:t>Quant à l'appréciation de la capacité de travail, le service médical de l'autorité inférieure conclut à une détérioration de la capacité de travail dans une activité adaptée de 100 % à 80 % (perte de 20 %). Non seulement le service médical n'explique aucunement comment ce taux a été arrêté, mais on cherche en vain dans le dossier un avis médical autorisé appuyant cette conclusion. La seule pièce citée dans la décision attaquée, à savoir le rapport du 5 avril 2017 et émanant de la Doctoresse Gg._______ est un rapport de consultation auprès d'un service d'urgence à la suite de palpitations et d'irradiations ressenties au cours d'un seul épisode. Cette pièce n'apporte aucun élément concret en lien avec la capacité de travail et, par conséquent, ne permet pas du tout de la chiffrer à 20 %. Il s'agit en effet d'un rapport établi à la suite d'une consultation aux urgences.</w:t>
      </w:r>
    </w:p>
    <w:p>
      <w:r>
        <w:rPr>
          <w:b/>
        </w:rPr>
        <w:t>E. 9.2</w:t>
      </w:r>
    </w:p>
    <w:p>
      <w:r>
        <w:t>Les conclusions du service médical de l'autorité inférieure, reprises sans autres par celle-ci, ne reposent que sur l'une des pièces médicales figurant au dossier. Elles ignorent au moins un symptôme nouveau, à savoir des syncopes. Elles ne discutent pas les conséquences du syndrome d'apnée du sommeil et se révèlent en contradiction avec les pièces au dossier s'agissant des troubles cognitifs. Elles ne discutent pas la seule pièce qui se prononce sur la question de la capacité de travail, qui parle d'une incapacité totale de travail quelle que soit l'activité. Elles se contentent de reconnaître une détérioration de la capacité de travail dans une activité adaptée de 20 % sans expliquer comment ce taux a été retenu. Or, une telle façon de procéder ne donne en aucune manière un tableau complet de la situation médicale (consid. 6.6.1) et ne saurait remplir les exigences jurisprudentielles relatives à l'établissement de la capacité de travail (consid. 6.5 et 6.6). Cela permet de conclure que le rapport du service médical n'explique pas les raisons pour lesquelles certains symptômes ou diagnostics (notamment les syncopes et l'ampleur des dyspnées ont été ignorés et surtout pourquoi une incapacité de travail plus importante n'a pas été retenu. De ce fait, la prise de position du service médical de l'autorité inférieure ne pouvait pas servir de fondement à la décision attaquée (consid. 6.6.3 et 6.6.4). L'autorité inférieure ne pouvait pas se contenter de cette appréciation. Dès lors qu'il existait un doute, le service médical devait, selon la jurisprudence exposée plus haut (consid. 6.6.4), ordonner une expertise pour clarifier la situation. L'incapacité de travail retenue (20 % dans une activité adaptée) est certes supérieure à celle établie lors de la première demande (0 % dans une activité adaptée). Pour autant, le dossier, en l'état, non seulement ne permet pas de savoir comment ce taux a été arrêté, mais n'exclut pas non plus que ce taux soit supérieur. Ce manquement est d'autant plus condamnable en l'espèce que l'appréciation hasardeuse de l'autorité inférieure la conduit à retenir une perte de gain de 38 % (avec une incapacité de travail de 20 % [pce 80]). Il s'ensuit que si l'appréciation de la capacité de travail avait été ne serait-ce que légèrement plus favorable au recourant, sa perte de gain lui aurait très vraisemblablement permis de se voir octroyer une rente d'invalidité (dès 40 % de perte de gain, un quart de rente est dû [consid. 6.1]). Sur un autre plan, selon l'ATF 145 V 215, les syndromes de dépendance primaire, comme en l'espèce l'abus d'alcool, doivent en principe faire l'objet, comme toutes les autres maladies psychiques, d'une procédure probatoire structurée au sens de l'ATF 141 V 281 (consid. 5 et 6.2 ; changement de jurisprudence). Or, tel n'a jamais été le cas dans ce dossier. Sur ce point également, l'instruction devra être complétée. Il résulte de ce qui précède que la cause n'était pas en état d'être décidée au moment où l'autorité inférieure a rendu sa décision. Aussi, dans une telle constellation, l'autorité inférieure, au lieu de rendre une décision, aurait dû poursuivre l'instruction, notamment en mettant sur pied une expertise pluridisciplinaire, portant sur les aspects cardiologiques, pneumologiques, neurologiques ou neuropsychologiques (troubles du sommeil, fatigues, syncopes ; sur la valeur probante d'une évaluation neuropsychologique : arrêt du TF 9C_752/2019 du 12 avril 2019 consid. 5.3 et les références citées), psychiatriques et hépathologiques (abus d'alcool), ainsi qu'une procédure probatoire structurée.</w:t>
      </w:r>
    </w:p>
    <w:p>
      <w:r>
        <w:rPr>
          <w:b/>
        </w:rPr>
        <w:t>E. 10.1</w:t>
      </w:r>
    </w:p>
    <w:p>
      <w:r>
        <w:t>Au vu de ce qui précède, le recours doit être admis partiellement en tant qu'il conteste le refus de l'autorité inférieure de lui octroyer une rente d'invalidité, la décision attaquée du 25 juin 2018 doit être annulée et l'affaire doit être renvoyée devant l'autorité inférieure pour complément d'instruction par toutes les mesures propres à clarifier l'état de santé du recourant et sa capacité de travail. Il se justifie en l'espèce de renvoyer la cause à l'autorité inférieure pour qu'elle procède aux mesures d'instruction nécessaires en application de l'art. 61 al. 1 PA, bien qu'un renvoi doive rester exceptionnel compte tenu de l'exigence de la célérité de la procédure (art. 29 de la Constitution fédérale du 18 avril 1999 de la Confédération suisse [Cst., RS 101]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Tribunal fédéral 8C_633/2014 du 11 décembre 2014 consid. 3.2 et 3.3). En l'espèce, il ressort du dossier que la situation médicale (nouveaux symptômes) ainsi que les conséquences qui en découlent (établissement de l'incapacité de travail) n'ont pas été instruites à satisfaction de droit par l'autorité inférieure.</w:t>
      </w:r>
    </w:p>
    <w:p>
      <w:r>
        <w:rPr>
          <w:b/>
        </w:rPr>
        <w:t>E. 10.2</w:t>
      </w:r>
    </w:p>
    <w:p>
      <w:r>
        <w:t>Dans le cadre de l'instruction qu'elle doit mener, l'autorité inférieure actualisera le dossier médical à la date de sa nouvelle décision. Elle entreprendra toutes les investigations médicales nécessaires pour l'établissement complet et actuel de l'état de santé du recourant (angine de poitrine, dyspnée, apnées du sommeil, syncopes, troubles cognitifs, abus d'alcool et maladie hépatique) et de son évolution pour pouvoir déterminer notamment l'incidence des éventuelles atteintes à la santé sur la capacité de travail (art. 43 al. 1 LPGA). Dans un premier temps, elle complétera le dossier avec les pièces médicales manquantes (à savoir le résultat d'un électroencéphalogramme [consid. 9.1.2]). Puis, elle mettra sur pied une expertise pluridisciplinaire portant sur les aspects cardiologiques et pneumologiques (en lien avec les symptômes - reconnus - d'angine de poitrine et de dyspnée au moindre effort [consid. 8.1 et 9.1.1]) et neurologiques ou neuropsychologiques (en lien avec les syncopes nouvellement apparues [consid. 9.1.2]) et psychiatrique et hépathologique (en lien avec les lésions hépatiques et l'abus d'alcool [consid. 9.1.3]) ainsi que d'autres disciplines si nécessaire (ATF 139 V 349 consid. 3.3), qui devra établir, en comparant l'état de fait existant au moment la première décision de l'autorité inférieure du 25 août 2016 avec l'état de santé actuel, s'il existe une amélioration, une aggravation ou un statu quo de l'état de santé du recourant depuis cette date (arrêt du TAF C-5626/2017 du 16 juillet 2019 consid. 5.9.2), avec indication de la date à partir de laquelle les éventuelles aggravations ont été constatées et indication de la capacité résiduelle de travail correspondante, le cas échéant (consid. 9.1.4). L'autorité inférieure devra ensuite recalculer l'incapacité de gain et rendre une nouvelle décision.</w:t>
      </w:r>
    </w:p>
    <w:p>
      <w:r>
        <w:rPr>
          <w:b/>
        </w:rPr>
        <w:t>E. 11.1</w:t>
      </w:r>
    </w:p>
    <w:p>
      <w:r>
        <w:t>En règle générale, les frais de procédure sont en principe mis à la charge de la partie qui succombe (art. 63 al. 1 1ère phrase PA). Selon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11.2</w:t>
      </w:r>
    </w:p>
    <w:p>
      <w:r>
        <w:t>En l'espèce, il n'y a pas lieu de percevoir de frais de procédure, dès lors que le recourant a obtenu gain de cause par le renvoi de l'affaire devant l'autorité inférieure et qu'aucun frais de procédure n'est mis à la charge de l'autorité inférieure. Partant, l'avance de frais, d'un montant de 800 francs, versée par le recourant durant l'instruction (pces TAF 2 et 4) lui sera restituée dès l'entrée en force du présent arrêt.</w:t>
      </w:r>
    </w:p>
    <w:p>
      <w:r>
        <w:rPr>
          <w:b/>
        </w:rPr>
        <w:t>E. 11.3</w:t>
      </w:r>
    </w:p>
    <w:p>
      <w:r>
        <w:t>Par voie de conséquence, la demande d'assistance judiciaire partielle déposée par le recourant le 8 janvier 2019 (pce TAF 8) est en toute hypothèse sans objet.</w:t>
      </w:r>
    </w:p>
    <w:p>
      <w:r>
        <w:rPr>
          <w:b/>
        </w:rPr>
        <w:t>E. 12.1</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w:t>
      </w:r>
    </w:p>
    <w:p>
      <w:r>
        <w:rPr>
          <w:b/>
        </w:rPr>
        <w:t>E. 12.2</w:t>
      </w:r>
    </w:p>
    <w:p>
      <w:r>
        <w:t>En l'espèce, le recourant, qui a obtenu gain de cause, a droit à des dépens. Il a interjeté recours par un organisme de défense des intérêts de ses affiliés, qui doit être assimilé à un mandataire professionnel n'exerçant pas la profession d'avocat, dont le tarif horaire est moindre (art. 10 al. 1 et 2 FITAF). En l'absence d'un décompte de prestations de la part de ce mandataire, le Tribunal fixe l'indemnité sur la base du dossier (art. 14 FITAF). Ainsi, en tenant compte du travail effectué par le mandataire, à savoir le dépôt du recours (6 pages), sans deuxième échange d'écritures, il convient d'allouer au recourant, à la charge de l'autorité inférieure, et sans supplément TVA (art. 9 al. 1 let. c FITAF, en relation avec les art. 1 al. 2 et 8 de la loi fédérale du 12 juin 2009 régissant la taxe sur la valeur ajoutée [LTVA, RS 641.20]), une indemnité à titre de dépens de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