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C-5021/2013 vom 12. März 2015</w:t>
      </w:r>
    </w:p>
    <w:p>
      <w:r>
        <w:t>Bundesverwaltungsgericht, 2015-03-12, FR</w:t>
      </w:r>
    </w:p>
    <w:p>
      <w:r>
        <w:rPr>
          <w:b/>
        </w:rPr>
        <w:t xml:space="preserve">Quelle: </w:t>
      </w:r>
      <w:r>
        <w:t>https://mcp.opencaselaw.ch/entscheid/bvger_C-5021_2013</w:t>
      </w:r>
    </w:p>
    <w:p>
      <w:r>
        <w:t>FR: TAF C-5021/2013 du 12 mars 2015</w:t>
      </w:r>
    </w:p>
    <w:p>
      <w:r>
        <w:t>IT: TAF C-5021/2013 del 12 marzo 2015</w:t>
      </w:r>
    </w:p>
    <w:p>
      <w:pPr>
        <w:pStyle w:val="Heading2"/>
      </w:pPr>
      <w:r>
        <w:t>Regeste</w:t>
      </w:r>
    </w:p>
    <w:p>
      <w:r>
        <w:t>suite à la dissolution de la famille</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àl'art. 62 al. 4 PA, l'autorité de recours n'est pas liée par les motifs invo­qués à l'appui du recours, ni par les considérants de la décision attaquée (cf. André Moser et al., Prozessieren vor dem Bundesverwaltungsge­richt, Handbücher für die Anwaltspraxis, Tome X, 2ème éd., Bâle 2013, pp. 226/227, ad ch. 3.197; Moor / Poltier, Droit administratif, Berne 2011, vol. II, pp. 300 et 301, ch. 2.2.6.5; Benoît Bovay, Procédure administra­tive, Berne 2000, pp. 192 et 193, par. 6, ainsi que la jurisprudence citée). Aussi peut-elle admettre ou rejeter le pourvoi pour d'autres motifs que ceux invoqués. Dans son arrêt, elle prend en considération l'état de fait ré­gnant au moment où elle statue (cf. ATAF 2014/1 consid. 2).</w:t>
      </w:r>
    </w:p>
    <w:p>
      <w:r>
        <w:rPr>
          <w:b/>
        </w:rPr>
        <w:t>E. 3</w:t>
      </w:r>
    </w:p>
    <w:p>
      <w:r>
        <w:t>Selon l'art. 99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(cf. art. 40 al. 1 LEtr). 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l'art. 86 al. 2 let. a et c OASA prévoit que le SEM refuse d'approuver l'octroi de l'autorisation initiale et le renouvellement notamment lorsque les condi­tions d'admission ne sont plus remplies. En l'espèce, la compétence décisionnelle appartient à la Confédération en vertu des règles de procédure précitées cf. également les chiffres 1.3.1.1 et 1.3.1.4 let. e des Directives et circulaires du SEM [version rema­niée et unifiée du 25.10.2013, état au 13 février 2015], &lt; https://www.bfm.admin.ch / Publications &amp; service / Directives et circulai­res I. Domaine des étrangers &gt;, consulté en mars 2015).Il s'en­suit que ni le Tribunal, ni l'autorité intimée ne sont liés par la décision du 25 juin 2012 de l'OCP-GE et peuvent donc parfaitement s'écarter de l'appré­ciation faite par cette autorité. 4.1 L'étranger n'a en principe pas un droit à la délivrance d'une autorisation de séjour ou d'établissement, à moins qu'il ne puisse se prévaloir d'une disposition particulière du droit fédéral ou d'un traité lui conférant un tel droit (ATF 135 II 1 consid. 1.1 et la jurisprudence citée). 4.2 Selon l'art. 42 al. 1 LEtr, le conjoint étranger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cf. notamment les arrêts du TF 2C_289/2012 du 12 juillet 2012 consid. 4.1.2 et 2C_560/2011 du 20 février 2012 consid. 3). Après un séjour légal ininterrompu de cinq ans, le conjoint a droit à l'octroi d'une autorisation d'établissement (art. 42 al. 3 LEtr). Encore faut-il que, durant ce laps de temps, il ait vécu en ménage commun ou ait pu invoquer l'exception à l'exigence du ménage commun prévue à l'art. 49 LEtr (Martina Caroni in: Caroni/Gächter/Thurnherr [éd.], Bundesgesetz über die Ausländerinnen und Ausländer [AuG], 2010, ad art. 42 n. 55; Marc Spescha in: Spescha, Thür, Zünd, Bolzli [éd.], Migrationsrecht, 3ème édition, 2012, ad art. 42 n. 9). 4.3 En l'espèce, il ressort du dossier que l'intéressé a contracté mariage à Versoix avec Y._______, ressortissante suisse, en date du 15 septembre 2006. Par jugement du 7 mai 2013, entré en force le 25 mai 2013, le Tribunal de première instance de Genève a prononcé le divorce des époux Güzel. Le recourant ne peut donc plus déduire un droit à une autorisation de séjour de l'art. 42 al. 1 LEtr. Par ailleurs, selon les déclarations concordantes des époux, ces derniers se sont définitivement séparés au mois de juillet 2010 (cf. lettres des 15 et 24 mars 2011 adressée à l'OCP-GE, mémoire de recours p. 9, ch. 46). Ainsi, le recourant n'a manifestement pas vécu en ménage commun pendant cinq ans avec son épouse. Il ne peut dès lors pas non plus se prévaloir d'un droit à l'octroi d'une autorisation d'établissement fondé sur l'art. 42 al. 3 LEtr, en relation avec l'art. 49 LEtr. 4.4 Compte tenu de ce qui précède, l'intéressé ne peut pas non plus exciper d'un droit à une autorisation de séjour fondée sur l'art. 8 par. 1 CEDH, car la jurisprudence subordonne expressément la possibilité d'invoquer cette disposition conventionnelle à l'existence d'une relation étroite et effective avec la personne ayant un droit de présence en Suisse (cf. notamment ATF 137 I 351 consid. 3.1; 131 II 265 consid. 5). Or, les époux ont divorcé et ne font plus ménage commun.</w:t>
      </w:r>
    </w:p>
    <w:p>
      <w:r>
        <w:rPr>
          <w:b/>
        </w:rPr>
        <w:t>E. 5</w:t>
      </w:r>
    </w:p>
    <w:p>
      <w:r>
        <w:t>Il convient dès lors d'examiner si l'intéressé peut se prévaloir d'un droit à la prolongation de son autorisation de séjour en vertu de l'art. 50 LEtr (cf. arrêt du TF 2C_556/2010 du 2 décembre 2010 consid. 4), en relation avec l'art. 77 al. 1 OASA.</w:t>
      </w:r>
    </w:p>
    <w:p>
      <w:r>
        <w:rPr>
          <w:b/>
        </w:rPr>
        <w:t>E. 5.1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L'existence d'une véritable union conjugale au sens de l'art. 50 al. 1 let. a LEtr suppose que la relation entre époux soit effectivement vécue et que ces derniers aient la volonté de la maintenir (cf. notamment ATF 138 II 229 consid. 2; 137 II 345 consid. 3.1.2). Pour cela, il faut se baser essentiellement sur la durée pendant laquelle le couple a fait ménage commun en Suisse (cf. notamment ATF 138 II précité consid. 2; 136 II précité consid. 3.3.5), à savoir sur la durée extérieurement perceptible du domicile matrimonial commun (cf. notamment ATF 137 II précité consid. 3.1.2).</w:t>
      </w:r>
    </w:p>
    <w:p>
      <w:r>
        <w:rPr>
          <w:b/>
        </w:rPr>
        <w:t>E. 5.2</w:t>
      </w:r>
    </w:p>
    <w:p>
      <w:r>
        <w:t>Comme relevé ci-dessus, l'intéressé a contracté mariage à Versoix avec Y._______ en date du 15 septembre 2006. Or, selon les déclarations concordantes des conjoints, ces derniers se sont définitivement séparés au mois de juillet 2010 (cf. consid. 4.3). Il y a ainsi lieu de considérer que leur union conjugale a duré plus de trois ans au sens de l'art. 50 al. 1 let. a LEtr, de sorte que la première condition de cette disposition est réalisée.</w:t>
      </w:r>
    </w:p>
    <w:p>
      <w:r>
        <w:rPr>
          <w:b/>
        </w:rPr>
        <w:t>E. 5.3</w:t>
      </w:r>
    </w:p>
    <w:p>
      <w:r>
        <w:t>Il convient dès lors d'examiner si l'intégration du recourant peut être considérée comme réussie au sens du deuxième terme de l'art. 50 al. 1 let. a LEtr.</w:t>
      </w:r>
    </w:p>
    <w:p>
      <w:r>
        <w:rPr>
          <w:b/>
        </w:rPr>
        <w:t>E. 5.3.1</w:t>
      </w:r>
    </w:p>
    <w:p>
      <w:r>
        <w:t>Le principe d'intégration inscrit à l'art. 50 al. 1 let. a LEtr veut que les étrangers, dont le séjour est légal et durable, participent à la vie économique, sociale et culturelle de la Suisse (art. 4 al. 2 LEtr [cf. no­tamment ATF 134 II 1 consid. 4.1, ainsi que les arrêts du Tribunal fédéral 2C_286/2013 du 21 mai 2013 consid. 2.2 et 2C_276/2012 du 4 décembre 2012 consid. 2.2.1]).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voir notamment l'ATF 134 II 1 consid. 4.1 et les arrêts du TF 2C_14/2014 consid. 4.6.1, 2C_704/2012 du 23 juillet 2012 consid. 4.3, 2C_329/2012 du 29 juin 2012 consid. 2.2, 2C_997/2011 du 3 avril 2012 consid. 4.3, 2C_749/2011 du 20 janvier 2012 consid. 3.2 et 2C_427/2011 du 26 octobre 2011 consid. 5.2). 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(cf. notamment arrêts du Tribunal fédéral 2C_286/2013 précité, consid. 2.4, 2C_930/2012 du 10 janvier 2013 consid. 3.1 et 2C_276/2012 précité, consid. 2.2.3) Un étranger qui obtient, même au bénéfice d'un emploi à temps partiel, par exemple en tant que nettoyeur, un revenu mensuel de l'ordre de 3'000 francs qui lui permet de subvenir à ses besoins jouit d'une situation professionnelle stable. Il importe ainsi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n'impliquent pas forcément que l'étranger n'est pas intégré professionnellement (cf. en ce sens notamment les arrêts du TF 2C_983/2011 du 13 juin 2012 consid. 3.2 et 2C_749/2011 consid. 3.3, ainsi que l'arrêt du TF 2C_427/2011 du 26 octobre 2011 consid. 5.3 dans le cadre duquel les critères de l'intégration ont été retenus nonobstant une période sans emploi de onze mois en rapport avec une activité lucrative continue de trois ans [cf. également les arrêts du TF 2C_427/2011 consid. 5.3, et 2C_430/2011 consid. 4.2]). 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Toutefois, une vie associative cantonnée à des relations avec des ressortissants de son propre Etat d'origine constitue plutôt un indice plaidant en défaveur d'une intégration réussie (cf. notamment arrêts du TF 2C_749/2011 consid. 3.3, 2C_426/2011 consid. 3.5, et 2C_427/2011 consid. 5.3). L'examen d'éventuelles contraventions à l'ordre public suisse doit respecter le principe de la présomption d'innocence, qui s'impose à tous les organes de l'Etat et dans tous les domaines du droit. Il y a lieu d'écarter de l'examen les délits qui n'ont pas donné lieu à condamnation, du moins lorsque les faits à leur origine n'ont pas expressément été reconnus par la personne mise en cause. Il n'est ainsi pas possible de fonder un refus d'autorisation de séjour pour contravention à l'ordre juridique suisse sur de simples dénonciations ou sur des procès-verbaux unilatéraux et contestés, et encore moins lorsqu'une autorité pénale a mis la personne concernée au bénéfice d'un non-lieu. Les infractions radiées du casier judiciaire peuvent en revanche être prises en considération (cf. notamment arrêt du TF 2C_749/2011 consid. 3.3 in fine).</w:t>
      </w:r>
    </w:p>
    <w:p>
      <w:r>
        <w:rPr>
          <w:b/>
        </w:rPr>
        <w:t>E. 5.3.2</w:t>
      </w:r>
    </w:p>
    <w:p>
      <w:r>
        <w:t>Sur le plan professionnel, il ressort des pièces du dossier que l'intéressé a été employé comme assistant de direction par une entreprise fribourgeoise entre 2008 et 2009, mais qu'il a dû cesser cette activité lucrative suite à la mise en faillite de la société et qu'il n'a jamais pu percevoir l'entier de son salaire, dont notamment un solde de 17'000 francs, suite à la suspension de la faillite pour défauts d'actifs prononcée le 15 décembre 2010 par la justice civile fribourgeoise (cf. pièces no 19-20 jointes au mémoire de recours). En 2009, le recourant a travaillé comme auxiliaire dans la restauration puis, à titre d'essai depuis le mois de novembre 2010 et ensuite sous contrat de durée indéterminée pour un temps partiel dès le mois d'août 2011, comme réceptionniste de nuit auxiliaire dans un hôtel à Genève. Le fait que le recourant n'ait pas commencé à chercher immédiatement un travail dès son arrivée en Suisse au mois d'août 2006 ne per­met pas d'en déduire un penchant de sa part au désoeuvrement. Il est à noter d'abord que l'intéressé reçoit une rente mensuelle d'un montant de plus de 2'000 francs de la part des autorités turques en tant qu'officier (lieutenant de gendarmerie) en retraite des forces armées turques, ce qui lui a permis, avec les revenus de son épouse, de subvenir aux besoins de son couple lorsqu'il est arrivé à Genève; ensuite, il a trouvé un emploi dès 2008, même s'il n'a pas exercé sans discontinuer une activité lucrative jusqu'à l'obtention de son travail de réceptionniste auxiliaire depuis 2009, manifestant de la sorte son souci constant de chercher à assurer son autonomie financière. A cet égard, il importe peu que l'indépendance financière résulte d'un emploi peu qualifié. Il s'agit en effet de rappeler (cf. consid. 5.3.1 supra et jurisprudence citée) que l'intégration réussie au sens de l'art. 50 al. 1 let. a LEtr n'implique pas nécessairement la réali­sation d'une trajectoire professionnelle particulièrement brillante au tra­vers d'une activité exercée sans discontinuité, l'essentiel en la matière étant que l'étranger subvienne à ses besoins, n'émarge pas à l'aide sociale et ne s'endette pas. Selon une attestation établie le 28 octobre 2011 par les services compé­tents de la ville de Genève, où l'intéressé réside depuis son arrivée en Suisse au mois d'août 2006, ce dernier n'a jamais émargé à l'assistance sociale commu­nale. Il ne ressort pas non plus des actes d'instruction que le recourant ait dû recourir depuis lors à l'assistance publique. Au vu de ce qui précède, il y a lieu d'admettre que l'intéressé est professionnellement intégré en Suisse et qu'il dispose d'un emploi suffisamment stable (cf. arrêt du TF 2C_749/2011 du 20 janvier 2012 consid. 4.1). Certes, il s'avère au vu des pièces versées au dossier (cf. courrier du 14 novembre 2014 et pièces annexées) que le recourant fait l'objet d'actes de défaut de biens pour un montant to­tal de 33'963 francs et de poursuites (non comprises dans les actes de défaut de biens) pour un montant de 11'253 francs. L'intéressé a toutefois montré sa réelle vo­lonté d'assainir sa situation financière et d'éponger ses dettes. Comme relevé dans le mémoire de recours (cf. p. 7 et pièce 23 annexée au recours), l'intéressé avait déjà pu verser à l'administration fiscale genevoise un montant total de 10'795 francs, solder l'arriéré des impôts cantonaux et communaux de 2009, 2010, 2011 et 2012, ainsi que l'impôt fédéral direct de 2009, 2011 et 2012, étant précisé qu'il s'agissait, en partie, d'impôts communs avec son épouse qui refusait de participer au remboursement de cette dette. De plus, il a convenu, le 2 juillet 2014, d'un arrangement de paiement avec l'administration fiscale genevoise pour le remboursement d'une somme de 7'017 francs due au titre d'arriéré de surtaxe et s'acquitte depuis lors régulièrement des mensualités convenues, comme l'attestent les récépissés postaux produits (cf. courrier du 14 novembre 2014 et pièces jointes en annexes). Le reste des dettes du recourant est constitué par la prise en charge de primes d'assurance-maladie par le Service de l'assurance-maladie du canton de Genève. Dans l'appréciation de la situation financière du recourant, il faut aussi tenir compte du fait que celle-ci s'est trouvée obérée par le défaut de paiement du solde du salaire de l'intéressé (d'un montant de 17'152 francs) suite à la suspension de la faillite pour défauts d'actifs de son employeur fribourgeois. Compte tenu des efforts ainsi entrepris par l'intéressé en vue de désintéresser ses créanciers, la dette qu'il a accumulée au cours de ces dernières années ne saurait, dans ces conditions, plaider à elle seule en défaveur d'une intégration réussie.</w:t>
      </w:r>
    </w:p>
    <w:p>
      <w:r>
        <w:rPr>
          <w:b/>
        </w:rPr>
        <w:t>E. 5.3.3</w:t>
      </w:r>
    </w:p>
    <w:p>
      <w:r>
        <w:t>Sur le plan de l'intégration sociale, même si l'intéressé semble avoir des relations étroites avec des ressortissants de son propre Etat d'origine dans le cadre de ses travaux de recherches et de publications, ainsi que dans le cadre de ses activités au sein d'associations et institutions académiques (cf. consid. F), il doit être constaté qu'il est également impliqué dans un groupe pour l'intégration dans sa commune de domicile (cf. mémoire de recours p. 5). Par ailleurs, durant son séjour en Suisse, il n'a pas fait l'objet de condamnation pénale. Certes, l'intéressé a fait l'objet d'une plainte pour violences conjugales déposée par son ex-épouse, mais dite plainte a été classée par le Ministère public genevois le 23 juillet 2010 "vu les déclarations contradictoires et l'absence de certificat médical attestant les dires de la plaignante", de sorte qu'il n'y a pas lieu d'en tenir compte (cf. consid. 5.3.1 in fine). Enfin, l'intéressé a déployé des efforts pour apprendre la langue française et a obtenu le niveau B1 en oral et le niveau A2 en écrit après avoir suivi des cours du mois d'avril au mois de juin 2009 à l'Institut Inlingua (cf. attestation du 7 novembre 2011 dudit institut), ainsi que du mois de septembre 2010 au mois de juin 2013 à l'Université Ouvrière de Genève (cf. attestation de l'UOG jointe au recours et certificats de niveau délivrés les 28 juin 2012 et 24 janvier 2013). Dès lors, force est de constater que le recourant est bien intégré socialement en Suisse.</w:t>
      </w:r>
    </w:p>
    <w:p>
      <w:r>
        <w:rPr>
          <w:b/>
        </w:rPr>
        <w:t>E. 6</w:t>
      </w:r>
    </w:p>
    <w:p>
      <w:r>
        <w:t>Au vu de ce qui précède et en référence à la jurisprudence développée par le Tribunal fédéral en la matière telle que rappelée ci-dessus, le Tribu­nal de céans considère que ni la nature ou la discontinuité des emplois exercés par le recourant, ni sa situation financière fragile ne suffisent pour nier la réussite de son intégration en Suisse, dès lors que l'intéressé s'est toujours efforcé de disposer d'un emploi en vue d'assumer son indé­pendance financière, n'a jamais émargé à l'assistance publique, s'appli­que à éponger ses dettes et à stabiliser sa situation financière, fait preuve de sociabilité, s'implique dans la vie collective locale et n'a pas contre­venu à l'ordre public. Partant, du moment que X._______ satisfait aux deux conditions d'application de l'art. 50 al. 1 let. a LEtr, le recours doit être admis, la déci­sion attaquée du 9 juillet 2013 annulée et la prolongation par les auto­rités cantonales genevoises de son autorisation de séjour approuvée, étant précisé qu'il est superflu, dans ces circonstances, d'examiner si les conditions posées par les art. 50 al. 1 let. b et 50 al. 2 LEtr sont remplies dans le cas d'espèce (cf. notamment arrêt du Tribunal fédéral 2C_427/2011 précité, consid. 5.4). Compte tenu de la situation financière fragile du recourant, l'autorité can­tonale compétente en matière de droit des étrangers est invitée à vérifier, au moment où interviendra le prochain renouvellement de ses conditions de séjour en Suisse, que l'intéressé tient ses engagements financiers vis-à-vis de ses créanciers.</w:t>
      </w:r>
    </w:p>
    <w:p>
      <w:r>
        <w:rPr>
          <w:b/>
        </w:rPr>
        <w:t>E. 7</w:t>
      </w:r>
    </w:p>
    <w:p>
      <w:r>
        <w:t>Bien qu'elle succombe, l'autorité inférieure n'a pas à supporter de frais de procédure (art. 63 al. 2 PA). Obtenant gain de cause, le recourant n'a pas à supporter de frais de procédure (cf. art. 63 al. 1 a contrario et al. 3 PA) et a droit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(cf. art. 14 al. 2 FITAF). Au vu de l'ensemble des circonstances du cas, de l'impor­tance de l'affaire, du degré de difficulté de cette dernière et de l'ampleur du travail accompli par le mandataire de l'intéressé, le Tribunal estime, au regard des art. 8 ss FITAF, que le versement d'un montant de 1'800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