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C-5014/2012 vom 11. November 2013</w:t>
      </w:r>
    </w:p>
    <w:p>
      <w:r>
        <w:t>Bundesverwaltungsgericht, 2013-11-11, DE</w:t>
      </w:r>
    </w:p>
    <w:p>
      <w:r>
        <w:rPr>
          <w:b/>
        </w:rPr>
        <w:t xml:space="preserve">Quelle: </w:t>
      </w:r>
      <w:r>
        <w:t>https://mcp.opencaselaw.ch/entscheid/bvger_C-5014_2012</w:t>
      </w:r>
    </w:p>
    <w:p>
      <w:r>
        <w:t>FR: TAF C-5014/2012 du 11 novembre 2013</w:t>
      </w:r>
    </w:p>
    <w:p>
      <w:r>
        <w:t>IT: TAF C-5014/2012 del 11 novembre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BVGE 2011/1 E. 2 und BVGE 2007/41 E. 2).</w:t>
      </w:r>
    </w:p>
    <w:p>
      <w:r>
        <w:rPr>
          <w:b/>
        </w:rPr>
        <w:t>E. 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Der angefochtenen Verfügung liegt das Gesuch eines jemenitischen Staatsangehörigen um Erteilung eines Visums für einen dreimonatigen Aufenthalt in der Schweiz aus geschäftlichen und medizinischen Gründen zugrunde. Da sich der Beschwerdeführer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bis 5 AuG).</w:t>
      </w:r>
    </w:p>
    <w:p>
      <w:r>
        <w:rPr>
          <w:b/>
        </w:rPr>
        <w:t>E. 5.1</w:t>
      </w:r>
    </w:p>
    <w:p>
      <w:r>
        <w:t>Angehörige von Staaten, die nicht Teil des Schengen-Raumes sind (sog. Drittstaaten), benötigen zur Einreise in die Schweiz bzw. den Schengen-Raum für einen Aufenthalt von höchstens 90 Tage je Sechs-Monats-Zeitraum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 32 [geändert durch Art. 2 der Verordnung {EU} Nr. 265/2010 vom 25. März 2010, ABl. L 85 vom 31.03.2010, S. 1 4]; Art. 14 Abs. 1 Bst. a c und Art. 21 Abs. 1 Visakodex, ABl. L 243 vom 15.09.2009, S. 1 58).</w:t>
      </w:r>
    </w:p>
    <w:p>
      <w:r>
        <w:rPr>
          <w:b/>
        </w:rPr>
        <w:t>E. 5.2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vom 15. März 2001 (ABl. L 81 vom 21.03.2001, S. 1 7; zum vollständigen Quellennachweis vgl. Fussnote zu Art. 4 Abs. 1 VEV) listet diejenigen Staaten auf, deren Staatsangehörige beim Überschreiten der Aussengrenzen der Schengen-Mitgliedstaaten im Besitze eines Visums sein müssen. Da Jemen in dieser Liste aufgeführt ist, unterliegt der Beschwerdeführer der Visumspflicht.</w:t>
      </w:r>
    </w:p>
    <w:p>
      <w:r>
        <w:rPr>
          <w:b/>
        </w:rPr>
        <w:t>E. 7.1</w:t>
      </w:r>
    </w:p>
    <w:p>
      <w:r>
        <w:t>Die Vorinstanz begründet die Abweisung der Einsprache im Wesentlichen damit, dass weder der Aufenthaltszweck klar noch die fristgerechte Wiederausreise des Beschwerdeführers gewährleistet sei. Bei der Beurteilung der gesicherten Wiederausreise muss ein zukünftiges Verhalten beurteilt werden. Hierzu sind lediglich Prognosen möglich, wobei jedoch sämtliche Umstände des konkreten Einzelfalles zu würdigen sind. Dazu können die allgemeine Lage im Herkunftsland und persönliche Situation der gesuchstellenden Person beigezogen werden. Ferner ist der Aufenthaltszweck zu beachten und bei Personen, die sich bereits früher in der Schweiz aufgehalten haben, ist insbesondere das in diesem Zusammenhang gezeigte Verhalten zu berücksichtigen.</w:t>
      </w:r>
    </w:p>
    <w:p>
      <w:r>
        <w:rPr>
          <w:b/>
        </w:rPr>
        <w:t>E. 7.2</w:t>
      </w:r>
    </w:p>
    <w:p>
      <w:r>
        <w:t>Im vorliegenden Fall gibt weder die allgemeine Situation in den Vereinigten Arabischen Emiraten (Herkunftsland) noch die persönliche Situation des Beschwerdeführers Anlass, eine negativen Prognose bezüglich der fristgerechten Wiederausreise zu stellen. Die Vorinstanz stützte sich in ihrem Einspracheentscheid denn auch auf das anlässlich der früheren Aufenthalte gezeigte Verhalten des Beschwerdeführers und leitet daraus Zweifel sowohl am Aufenthaltszweck als auch an der fristgerechten Wiederausreise ab.</w:t>
      </w:r>
    </w:p>
    <w:p>
      <w:r>
        <w:rPr>
          <w:b/>
        </w:rPr>
        <w:t>E. 7.3.1</w:t>
      </w:r>
    </w:p>
    <w:p>
      <w:r>
        <w:t>Aus den Akten geht hervor, dass dem Beschwerdeführer im Jahre 2011 insgesamt vier "Business"-Visa ausgestellt wurden (vgl. Sachverhalt Bst. A.a, A.b, A.d und A.e). Jedes Mal ersuchte er um Verlängerung der Aufenthaltsdauer. Am 21. März 2011 um 30 Tage, am 26. Mai 2011 um 20 Tage und am 6. September 2011 um 15 Tage. Nach Ablehnung dieser Verlängerungsgesuche reiste er jeweils fristgerecht aus. Im Rahmen des am 21. September 2011 ausgestellten Visums (vgl. Sachverhalt Bst. A.e) hielt sich der Beschwerdeführer zunächst rund 1,5 Monate in der Schweiz auf. Am 5. Februar 2012 reiste er mit diesem Visum erneut ein. Am letzten Tag der Gültigkeit beantragte er aus geschäftlichen Gründen eine Verlängerung, die ihm jedoch verweigert wurde. Am letzten Tag der Ausreisefrist ersuchte er erneut um eine Verlängerung des Aufenthalts. Diese wurde ihm in Form eines auf die Schweiz beschränkten Visums-Verlängerung (vgl. E. 5.2) gewährt, da er ein Arztzeugnis vorlegen konnte, das bestätigte, dass er bis zum 26. April 2012 nicht reisefähig sei. Aus dem gleichen Grund wurde ihm am 26. April 2012 eine weitere Verlängerung bis zum 20. Mai 2012 gewährt. Ein weiteres Gesuch um Verlängerung bis zum 4. Juni 2012 wurde nach Rücksprache mit dem behandelnden Arzt am 18. Mai 2012 abgewiesen, da offenbar aus ärztlicher Sicht keine Bedenken bezüglich der Reisefähigkeit mehr bestanden (Akten ZH 144). In der Folge reiste der Beschwerdeführer am 19. Mai 2012 aus. Bereits am nächsten Tag reichte er bei der Schweizer Vertretung ein neues Gesuch um Erteilung eines Visums ein. Die Abweisung dieses Gesuches ist Gegen­stand des vorliegenden Verfahrens.</w:t>
      </w:r>
    </w:p>
    <w:p>
      <w:r>
        <w:rPr>
          <w:b/>
        </w:rPr>
        <w:t>E. 7.3.2</w:t>
      </w:r>
    </w:p>
    <w:p>
      <w:r>
        <w:t>Aus dieser Darstellung wird deutlich, dass der Beschwerdeführer systematisch die von ihm ursprünglich beantragte Aufenthaltsdauer zu erstrecken suchte. Zunächst stützten sich die Verlängerungsgesuche auf die Geschäftstätigkeit, später dann auf medizinische Gründe. Der durch diese Verlängerungsgesuche angestrebte Aufenthaltszeitraum wird von den Regeln für Schengen-Visa nicht gedeckt. Diese dienen für Kurzaufenthalte, die nicht mehr als 90 Tage pro Sechs-Monats-Zeitraum betragen (vgl. E. 5.1). Die vom Beschwerdeführer eigentlich angestrebte Anwesenheitsdauer untersteht der nationalen Ausländerrechtsgesetzgebung mit ihren strengen Zulassungsbedingungen (vgl. Art. 18 ff. AuG). Dies muss auch dem Beschwerdeführer klar sein, wurde doch für ihn im Jahre 2011 ein Gesuch um Bewilligung der Erwerbstätigkeit für drei Jahre gestellt, was jedoch von der zuständigen Arbeitsmarktbehörde nach Prüfung der Zulassungsbedingungen abgewiesen wurde (vgl. Sachverhalt Bst. A.c). Ein weiteres Indiz dafür, dass der Beschwerdeführer häufigere bzw. längere Aufenthalte beabsichtigt als sie durch ein Schengen-Visum abgedeckt werden können, ist in der Anmietung einer Vier-Zimmer-Wohnung zu sehen. Zwar wurde die Wohnung von einer der Firmen, für die der Beschwerdeführer tätig ist, gemietet; gemäss seinen eigenen Angaben in der Einsprache vom 7. Juli 2012 sollte sie jedoch ausschliesslich ihm zur Verfügung stehen. Dass der Vertrag für diese Wohnung inzwischen wieder gekündigt wurde, wie der Beschwerdeführer in der Replik vom 26. Dezember 2012 geltend macht, spielt bei der hier vorzunehmenden Beurteilung keine Rolle. Im Weiteren wird in der Replik ausgeführt, die Geschäfte, um die sich der Beschwerdeführer persönlich und in der Schweiz zu kümmern habe, erforderten viel Zeit für die Vorbereitung und Realisierung. Dies sei nicht in drei Monaten zu erledigen. Auch hierin ist ein Indiz zu sehen, dass der Aufenthaltszweck nicht mit den Grundsätzen der Schengen-Regelungen übereinstimmt.</w:t>
      </w:r>
    </w:p>
    <w:p>
      <w:r>
        <w:rPr>
          <w:b/>
        </w:rPr>
        <w:t>E. 8</w:t>
      </w:r>
    </w:p>
    <w:p>
      <w:r>
        <w:t>Insgesamt ist der Entscheid der Vorinstanz vor dem Hintergrund von Art. 49 VwVG im Ergebnis demnach nicht zu beanstanden. Aufgrund des Verhaltens des Beschwerdeführers im Zusammenhang mit seinen früheren Aufenthalten sowie den Dispositionen, die durch Firmen getätigt wurden, für die er die Geschäfte führt bzw. geführt hat (Gesuch um Aufenthaltsbewilligung mit Erwerbstätigkeit, Anmietung Wohnung), durfte die Vorinstanz davon ausgehen, dass der Aufenthaltszweck unklar ist und folglich auch die fristgerechte Wiederausreise nicht gesichert erscheint. Dabei ist festzuhalten, dass die Zweifel am Aufenthaltszweck nicht bezüglich der Frage bestehen, ob der Beschwerdeführer aus geschäftlichen oder aus medizinischen Gründen in die Schweiz kommen möchte. Die geschäftlichen Gründe stehen hier klar im Vordergrund, was sich auch aus den beiden Mandaten des Beschwerdeführers als Verwaltungsratspräsident von Firmen mit Sitz in der Schweiz ergibt. Die Zweifel liegen, wie ausgeführt, in der Frage, ob die Dauer des Aufenthalts überhaupt von den Schengen-Regeln gedeckt ist. Die systematischen Verlängerungsgesuche und die getätigten Dispositionen legen den Schluss nahe, dass der Beschwerdeführer eigentlich einen längeren Aufenthalt anstrebt, als ihm mittels eines Schengen-Visums bewilligt werden kann. Folglich ist auch die fristgerechte Wiederausreise nicht gewährleistet. Gründe, die es erlauben würden, ein Visum mit räumlich beschränkter Gültigkeit auszustellen (vgl. E. 5.2), wie beispielsweise dringliche und zeitlich genau umrissene geschäftliche Termine, werden vorliegend nicht geltend gemacht und sind auch aus den Akten nicht ersichtlich. Die Beschwerde ist daher abzuweisen.</w:t>
      </w:r>
    </w:p>
    <w:p>
      <w:r>
        <w:rPr>
          <w:b/>
        </w:rPr>
        <w:t>E. 9</w:t>
      </w:r>
    </w:p>
    <w:p>
      <w:r>
        <w:t>Bei diesem Ausgang des Verfahrens sind die Kosten dem Beschwerdeführer aufzuerlegen (vgl. Art. 63 Abs. 1 VwVG i.V.m. Art. 1 und Art. 3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