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C-5014/2008 vom 10. März 2010</w:t>
      </w:r>
    </w:p>
    <w:p>
      <w:r>
        <w:t>Bundesverwaltungsgericht, 2010-03-10, DE</w:t>
      </w:r>
    </w:p>
    <w:p>
      <w:r>
        <w:rPr>
          <w:b/>
        </w:rPr>
        <w:t xml:space="preserve">Quelle: </w:t>
      </w:r>
      <w:r>
        <w:t>https://mcp.opencaselaw.ch/entscheid/bvger_C-5014_2008</w:t>
      </w:r>
    </w:p>
    <w:p>
      <w:r>
        <w:t>FR: TAF C-5014/2008 du 10 mars 2010</w:t>
      </w:r>
    </w:p>
    <w:p>
      <w:r>
        <w:t>IT: TAF C-5014/2008 del 10 marzo 2010</w:t>
      </w:r>
    </w:p>
    <w:p>
      <w:pPr>
        <w:pStyle w:val="Heading2"/>
      </w:pPr>
      <w:r>
        <w:t>Regeste</w:t>
      </w:r>
    </w:p>
    <w:p>
      <w:r>
        <w:t>Einreise</w:t>
      </w:r>
    </w:p>
    <w:p>
      <w:pPr>
        <w:pStyle w:val="Heading2"/>
      </w:pPr>
      <w:r>
        <w:t>Erwägungen</w:t>
      </w:r>
    </w:p>
    <w:p>
      <w:r>
        <w:rPr>
          <w:b/>
        </w:rPr>
        <w:t>E. 1</w:t>
      </w:r>
    </w:p>
    <w:p>
      <w:r>
        <w:t>Aufgrund des engen persönlichen und sachlichen Zusammenhangs sind die Verfahren mit den Referenzen C-5014/2008 und C-5690/2008 zu vereinigen.</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Der Beschwerdeführer ist gemäss Art. 48 Abs. 1 VwVG zur Beschwerde berechtigt. Grundsätzlich wären auch die Gesuchstellerinnen beschwerdebefugt. Sie selbst haben jedoch keine Beschwerde eingereicht, und die Rechtsvertreterin hat sich lediglich durch eine von C._______ unterzeichnete Vollmacht ausgewiesen. Es ist deshalb nur auf die in seinem Namen frist- und formgerecht erhobenen Beschwerden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 Recht fortgeführt werden.</w:t>
      </w:r>
    </w:p>
    <w:p>
      <w:r>
        <w:rPr>
          <w:b/>
        </w:rPr>
        <w:t>E. 6.1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6.2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7</w:t>
      </w:r>
    </w:p>
    <w:p>
      <w:r>
        <w:t>Gemäss Anhang I zur Verordnung (EG) Nr. 539/2001 des Rates vom 15. März 2001 (ABl. L 81 vom 21.03.2001, S. 1-7) unterliegen die Gesuchstellerinnen als Staatsangehörige Afghanistans der Visumpflicht.</w:t>
      </w:r>
    </w:p>
    <w:p>
      <w:r>
        <w:rPr>
          <w:b/>
        </w:rPr>
        <w:t>E. 8</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9</w:t>
      </w:r>
    </w:p>
    <w:p>
      <w:r>
        <w:t>Auch acht Jahre nach Beginn des internationalen Engagements für den Wiederaufbau gehört Afghanistan immer noch zu den ärmsten Ländern der Welt und ist das ärmste Land ausserhalb von Schwarzafrika. Mangels anderweitiger Erwerbsmöglichkeiten sind 80% der Bevölkerung im landwirtschaftlichen Bereich tätig, wobei der Mohnanbau - vor allem im Süden des Landes - eine erhebliche Rolle spielt. Trotz Reduzierung der Mohnanbaufläche und Rückgang der Drogenwirtschaft in den letzten beiden Jahren hält Afghanistan aber immer noch einen Weltmarktanteil am Opium- und Heroinhandel von über 90%. Entsprechende Einnahmen trugen im Jahr 2008 rund ein Drittel zum Bruttoinlandprodukt bei (Quelle: Deutsches Auswärtiges Amt, &lt;http:// www.auswaertiges-amt.de&gt;, Länder, Reisen und Sicherheit &gt; Afghanistan &gt; Wirtschaft, Stand: Dezember 2009, besucht im März 2010). Die Sicherheitslage in Afghanistan ist prekär. Im ganzen Land besteht das Risiko, Opfer von Terroranschlägen, Entführungen, Raubüberfällen, Landminen und Blindgängern zu werden. Die Gewaltakte gehen dabei von vier Quellen aus: von regierungsfeindlich eingestellten Gruppierungen wie z.B. den Taliban, von Reaktionen hierauf durch die afghanischen und ausländischen Sicherheitskräfte, von regionalen Kriegsherren und Kommandierenden der Milizen sowie von kriminellen Gruppierungen. Der Anteil von zivilen Opfern hat dabei erneut stark zugenommen (vgl. Corinne Troxler Gulzar, Schweizerische Flüchtlingshilfe, Afghanistan: Update, Die Aktuelle Sicherheitslage, Bern, 11. August 2009; siehe auch Deutsches Auswärtiges Amt, a.a.O &gt; Reisewarnung, Stand: 4. März 2010). Aufgrund der geschilderten Sicherheitslage sind viele Afghanen im Laufe der Jahre nach Pakistan geflüchtet. Schätzungen gehen davon aus, dass dort derzeit über 2 Millionen Flüchtlinge leben (Quelle: Deutsches Auswärtiges Amt, a.a.O. &gt; Weitere Artikel zu Afghanistan &gt; Kooperation zwischen Afghanistan und Pakistan fördern [6. Mai 2009]).</w:t>
      </w:r>
    </w:p>
    <w:p>
      <w:r>
        <w:rPr>
          <w:b/>
        </w:rPr>
        <w:t>E. 10</w:t>
      </w:r>
    </w:p>
    <w:p>
      <w:r>
        <w:t>Vor diesem Hintergrund ist das Emigrationsrisiko von Staatsangehörigen, die aus Afghanistan stammen, als äusserst hoch einzuschätzen. Dabei fällt mit ins Gewicht, dass im Jahr 2009 751 Asylgesuche diese Nation betrafen; ihre Zahl hat sich damit im Vergleich zum Vorjahr (346) mehr als verdoppelt. Im letzten Quartal 2009 war Afghanistan mit 222 Gesuchen viertwichtigstes Herkunftsland aller in der Schweiz Asylsuchender (Quelle: Bundesamt für Migration, &lt;http:// www.bfm. admin. ch &gt; Themen &gt; Statistiken &gt; Asylstatistik &gt; Jahresstatistiken). Bei der Risikoeinschätzung spielt die persönliche Situation von Besuchern aus Afghanistan zwar durchaus auch eine Rolle; angesichts der dortigen Lebensumstände kann mit einer Wiederausreise aber nur dann gerechnet werden, wenn soziale Bindungen oder Verpflichtungen hierfür einen genügend grossen Anreiz bieten.</w:t>
      </w:r>
    </w:p>
    <w:p>
      <w:r>
        <w:rPr>
          <w:b/>
        </w:rPr>
        <w:t>E. 11</w:t>
      </w:r>
    </w:p>
    <w:p>
      <w:r>
        <w:t>Gemäss ihren Einreisegesuchen leben die Gesuchstellerinnen in Hayatabad, Vorstadt der pakistanischen Grossstadt Peshawar. Beide Frauen sind alleinstehend - B._______ verwitwet, ihre Tochter A._______ ledig - und üben keine Berufstätigkeit aus. Womit beide ihren Lebensunterhalt bestreiten, geht aus den Akten nicht hervor. Unbekannt ist auch das sonstige familiäre Umfeld.</w:t>
      </w:r>
    </w:p>
    <w:p>
      <w:r>
        <w:rPr>
          <w:b/>
        </w:rPr>
        <w:t>E. 11.1</w:t>
      </w:r>
    </w:p>
    <w:p>
      <w:r>
        <w:t>Der Beschwerdeführer hat sich zu den persönlichen Lebensumständen seiner Angehörigen nicht geäussert, sondern vor allem seine eigenen wirtschaftlichen Verhältnisse betont, welche es ihm erlaubten, den geplanten Besuchsaufenthalt von Mutter und Schwester zu finanzieren. Das Vorhandensein genügender finanzieller Mittel - welches vom Gastgeberkanton bestritten wird - ist jedoch nur eine Voraussetzung, die kumulativ mit derjenigen der gesicherten Wiederausreise vorliegen muss (vgl. oben E. 6.2). Bestehen daher erhebliche Zweifel an der Rückkehrbereitschaft der eingeladenen Gäste, so erübrigt es sich, auf die Frage nach hinreichenden Garantien des Gastgebers einzugehen.</w:t>
      </w:r>
    </w:p>
    <w:p>
      <w:r>
        <w:rPr>
          <w:b/>
        </w:rPr>
        <w:t>E. 11.2</w:t>
      </w:r>
    </w:p>
    <w:p>
      <w:r>
        <w:t>Dass der Beschwerdeführer kein Wort über die aktuelle Lebenssituation seiner Gäste verliert, spricht für sich bzw. lässt vermuten, dass kaum Gründe für die Wiederausreise der Gesuchstellerinnen sprächen. Bestärkt wird diese Einschätzung auch durch den Umstand, dass sich A._______ und B._______ offensichtlich als Flüchtlinge ohne Aufenthaltstitel in Pakistan aufhalten (vgl. die Bemerkungen der Schweizerischen Botschaft in Islamabad vom 26. und 27. Mai 2008). Demgegenüber hat der Beschwerdeführer in seinem an die Botschaft gerichteten Einladungsschreiben vom 29. April 2008 behauptet, seine Angehörigen lebten in Afghanistan. Auch der von den Gesuchstellerinnen unterzeichnete Antrag auf formellen Entscheid vom 18. April 2008 versucht - dadurch, dass im Absenderfeld "Afghanistan" angegeben wird - den Eindruck zu erwecken, als hielten sich beide in ihrem Heimatland auf. Dennoch lassen die weiteren Absenderangaben bezüglich Wohnort (Hayatabad, Peshawar) und bezüglich der für Pakistan angegebenen internationalen (Telefon-)Ländervorwahl (0092) keinen Zweifel daran, dass sich die Gesuchstellerinnen derzeit in Pakistan befinden. Aufgrund all dieser Aspekte besteht eine hohe Wahrscheinlichkeit dafür, dass die von den Gesuchstellerinnen beantragten Besuchervisa einem völlig anderen Zweck - sprich dauerndem Aufenthalt in der Schweiz - dienen sollen.</w:t>
      </w:r>
    </w:p>
    <w:p>
      <w:r>
        <w:rPr>
          <w:b/>
        </w:rPr>
        <w:t>E. 12</w:t>
      </w:r>
    </w:p>
    <w:p>
      <w:r>
        <w:t>Somit durfte die Vorinstanz zu Recht davon ausgehen, dass die fristgerechte Wiederausreise von A._______ und B._______ nicht gewährleistet sei. Die Erteilung der gewünschten Einreisebewilligungen war daher abzulehnen.</w:t>
      </w:r>
    </w:p>
    <w:p>
      <w:r>
        <w:rPr>
          <w:b/>
        </w:rPr>
        <w:t>E. 13</w:t>
      </w:r>
    </w:p>
    <w:p>
      <w:r>
        <w:t>Aus diesen Darlegungen folgt, dass die angefochtenen Verfügungen im Ergebnis rechtmässig sind (Art. 49 VwVG). Die Beschwerden sind demzufolge abzuweisen.</w:t>
      </w:r>
    </w:p>
    <w:p>
      <w:r>
        <w:rPr>
          <w:b/>
        </w:rPr>
        <w:t>E. 14</w:t>
      </w:r>
    </w:p>
    <w:p>
      <w:r>
        <w:t>Bei diesem Ausgang des Verfahrens sind die Kosten dem Beschwerdeführer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