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C-5012/2014 vom 25. März 2015</w:t>
      </w:r>
    </w:p>
    <w:p>
      <w:r>
        <w:t>Bundesverwaltungsgericht, 2015-03-25, DE</w:t>
      </w:r>
    </w:p>
    <w:p>
      <w:r>
        <w:rPr>
          <w:b/>
        </w:rPr>
        <w:t xml:space="preserve">Quelle: </w:t>
      </w:r>
      <w:r>
        <w:t>https://mcp.opencaselaw.ch/entscheid/bvger_C-5012_2014</w:t>
      </w:r>
    </w:p>
    <w:p>
      <w:r>
        <w:t>FR: TAF C-5012/2014 du 25 mars 2015</w:t>
      </w:r>
    </w:p>
    <w:p>
      <w:r>
        <w:t>IT: TAF C-5012/2014 del 25 marzo 2015</w:t>
      </w:r>
    </w:p>
    <w:p>
      <w:pPr>
        <w:pStyle w:val="Heading2"/>
      </w:pPr>
      <w:r>
        <w:t>Regeste</w:t>
      </w:r>
    </w:p>
    <w:p>
      <w:r>
        <w:t>Rückvergütung von Beiträgen</w:t>
      </w:r>
    </w:p>
    <w:p>
      <w:pPr>
        <w:pStyle w:val="Heading2"/>
      </w:pPr>
      <w:r>
        <w:t>Erwägungen</w:t>
      </w:r>
    </w:p>
    <w:p>
      <w:r>
        <w:rPr>
          <w:b/>
        </w:rPr>
        <w:t>E. 1</w:t>
      </w:r>
    </w:p>
    <w:p>
      <w:r>
        <w:t>Das Bundesverwaltungsgericht ist zur Behandlung der vorliegenden Beschwerde zuständig (Art. 85bis Abs. 1 AHVG [SR 831.10] sowie Art. 31, 32 und 33 Bst. d VGG) und 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Auf die frist- und formgerecht eingereichte Beschwerde vom 1. September 2014 (Poststempel: 2. September 2014)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12. August 2014. Strittig und vom Bundesverwaltungsgericht zu prüfen ist, ob die Vorinstanz zu Recht die Rückvergütung der AHV-Beiträge an den Beschwerdeführer angeordnet hat, weil sie davon ausgeht, dass er sein Gesuch um Beitragsrückerstattung nicht rechtsgültig zurückgezogen hat.</w:t>
      </w:r>
    </w:p>
    <w:p>
      <w:r>
        <w:rPr>
          <w:b/>
        </w:rPr>
        <w:t>E. 3.1</w:t>
      </w:r>
    </w:p>
    <w:p>
      <w:r>
        <w:t>Für die Beurteilung eines Ge­suchs auf Rückvergütung von Beiträgen sind die im Zeit­punkt des Gesuchs massgebenden gesetzlichen Bestimmungen an­wendbar (vgl. BGE 136 V 24 E. 4.4). Somit kommen vorliegend die im Februar 2014 gültigen Bestimmungen zur Anwendung, insbesondere diejenigen des AHVG und der Verordnung über die Rückvergütung der von Ausländern an die Alters- und Hinterlassenenversicherung bezahlten Beiträge (RV-AHV, SR 831.131.12).</w:t>
      </w:r>
    </w:p>
    <w:p>
      <w:r>
        <w:rPr>
          <w:b/>
        </w:rPr>
        <w:t>E. 3.2</w:t>
      </w:r>
    </w:p>
    <w:p>
      <w:r>
        <w:t>Der Beschwerdeführer ist (ausschliesslich) kosovarischer Staatsangehöriger (act. 20 S. 2 und 3) und lebte im Zeitpunkt der Gesuchseinreichung im Kosovo (act. 20 S. 1). Die Frage nach einer Doppelbürgerschaft hat er ausdrücklich verneint (act. 19). Gemäss bundesgerichtlicher Rechtsprechung ist das Sozialversicherungsabkommen mit Jugoslawien seit dem 1. April 2010 auf kosovarische Staatsangehörige nicht mehr anwendbar (vgl. BGE 139 V 263 E. 3 bis 8), weshalb der Beschwerdeführer als Angehöriger eines Nichtvertragsstaates zu gelten hat und sich die Rückvergütung von AHV-Beiträgen allein nach schweizerischem Recht beurteilt.</w:t>
      </w:r>
    </w:p>
    <w:p>
      <w:r>
        <w:rPr>
          <w:b/>
        </w:rPr>
        <w:t>E. 3.3</w:t>
      </w:r>
    </w:p>
    <w:p>
      <w:r>
        <w:t>Das Sozialversicherungsgericht stellt bei der Beurteilung einer Streitsache in der Regel auf den bis zum Zeitpunkt des Erlasses der streitigen Verwaltungsverfügung (hier: 12. August 2014) eingetretenen Sachverhalt ab (BGE 132 V 215 E. 3.1.1). Tatsachen, die jenen Sachverhalt seither verändert haben, sollen im Normalfall Gegenstand einer neuen Verwaltungsverfügung sein (BGE 121 V 362 E. 1b).</w:t>
      </w:r>
    </w:p>
    <w:p>
      <w:r>
        <w:rPr>
          <w:b/>
        </w:rPr>
        <w:t>E. 4.1</w:t>
      </w:r>
    </w:p>
    <w:p>
      <w:r>
        <w:t>Der Anspruch auf eine Altersrente ist bei Ausländern nur solange gegeben, als sie ihren Wohnsitz und gewöhnlichen Aufenthalt (Art. 13 ATSG) in der Schweiz haben, wobei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des AHVG ungefähr gleichwertig sind, vorbehalten bleiben (Art. 18 Abs. 2 AHVG).</w:t>
      </w:r>
    </w:p>
    <w:p>
      <w:r>
        <w:rPr>
          <w:b/>
        </w:rPr>
        <w:t>E. 4.2</w:t>
      </w:r>
    </w:p>
    <w:p>
      <w:r>
        <w:t>Nach Art. 18 Abs. 3 AHVG und Art. 1 Abs. 1 RV-AHV können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w:t>
      </w:r>
    </w:p>
    <w:p>
      <w:r>
        <w:rPr>
          <w:b/>
        </w:rPr>
        <w:t>E. 4.3</w:t>
      </w:r>
    </w:p>
    <w:p>
      <w:r>
        <w:t>Aus rückvergüteten Beiträgen und den entsprechenden Beitragszeiten können gegenüber der AHV und der IV keine Rechte abgeleitet werden. Die Wiedereinzahlung der Beiträge ist ausgeschlossen (Art. 6 RV-AHV).</w:t>
      </w:r>
    </w:p>
    <w:p>
      <w:r>
        <w:rPr>
          <w:b/>
        </w:rPr>
        <w:t>E. 5</w:t>
      </w:r>
    </w:p>
    <w:p>
      <w:r>
        <w:t>Wie bereits erwähnt besteht zwischen der Schweiz und dem Heimatstaat des Beschwerdeführers seit dem 1. April 2010 keine zwischenstaatliche Vereinbarung mehr (E. 3.2). Der Beschwerdeführer hatte bei der Gesuchstellung, im Zeitpunkt der Verfügung und des Einspracheentscheids Wohnsitz im Kosovo. Er weist zudem mehr als ein volles Beitragsjahr auf, hat bisher keine Rente der AHV/IV bezogen und ist aller Voraussicht nach endgültig aus der Versicherung ausgeschieden. Schliesslich wohnt seine Ehefrau nicht in der Schweiz und er hat auch keine unter 25-jährigen Kinder mit schweizerischem Wohnsitz. Die Vorinstanz ist daher bei Erlass der Rückvergütungsverfügung vom 31. März 2014 und des Einspracheentscheids vom 12. August 2014 zu Recht davon ausgegangen, dass die tatbeständlichen Voraussetzungen von Art. 1 Abs. 1 und Art. 2 Abs. 1 RV-AHV gegeben und die Voraussetzungen für die Rückvergütung der AHV-Beiträge erfüllt sind.</w:t>
      </w:r>
    </w:p>
    <w:p>
      <w:r>
        <w:rPr>
          <w:b/>
        </w:rPr>
        <w:t>E. 6</w:t>
      </w:r>
    </w:p>
    <w:p>
      <w:r>
        <w:t>Zu prüfen ist, ob der Beschwerdeführer nach Erlass der Verfügung vom 31. März 2014 sein Gesuch um Rückerstattung der AHV-Beiträge rechtsgültig zurückgezogen hat.</w:t>
      </w:r>
    </w:p>
    <w:p>
      <w:r>
        <w:rPr>
          <w:b/>
        </w:rPr>
        <w:t>E. 6.1</w:t>
      </w:r>
    </w:p>
    <w:p>
      <w:r>
        <w:t>Das diesem Beschwerdeverfahren vorangegangene Verwaltungsverfahren, das durch das Gesuch des Beschwerdeführers eingeleitet wurde und auf die Zusprechung eines finanziellen Vorteils zielt, ist von der Dispositionsmaxime beherrscht. Nach der Dispositionsmaxime liegen sowohl die Einleitung als auch die Beendigung des Verfahrens in der Verfügungsmacht der Parteien. Die Partei, welche das Verfahren durch ihr Gesuch eingeleitet hat, kann es dementsprechend auch einseitig beenden (vgl. Urteil des BVGer C-6182/2009 vom 19. Mai 2010 E. 6.3 mit Hinweisen). Vorliegend ist daher grundsätzlich davon auszugehen, dass der Beschwerdeführer sein Gesuch um Rückvergütung der einbezahlten AHV-Beiträge zurückziehen kann. Ein solcher Rückzug wäre dann nicht möglich, wenn dieser rechtsmissbräuchlich erfolgen würde (vgl. Urteil des BGer 9C_327/2012 vom 7. September 2012 E. 4).</w:t>
      </w:r>
    </w:p>
    <w:p>
      <w:r>
        <w:rPr>
          <w:b/>
        </w:rPr>
        <w:t>E. 6.2</w:t>
      </w:r>
    </w:p>
    <w:p>
      <w:r>
        <w:t>Gemäss den vorliegenden Akten hat die Vorinstanz dem Beschwerdeführer den verfügten Rückerstattungsbetrag von Fr. 6'191.90 laut einer Zahlungsbestätigung der Post Finance vom 16. April 2014 am 9. April 2014 (Valutadatum auf Empfängerkonto) - vor Eintritt der Rechtskraft der Verfügung vom 31. März 2014 - ausbezahlt (act. 24), was unbestritten ist. Kurz darauf hat der Beschwerdeführer der Vorinstanz mit Schreiben vom 19. April 2014 mitgeteilt, dass er mit dem vorgeschlagenen Rückvergütungsbetrag nicht einverstanden sei und eine neue Vereinbarung zwischen dem Kosovo und der Schweiz abwarten wolle (act. 25). Unter diesen Umständen ist es nicht zu beanstanden, dass die Vorinstanz die Rechtsgültigkeit des Rückzugs des Rückerstattungsgesuchs an die Bedingung geknüpft hat, dass der Beschwerdeführer die bereits ausbezahlten Fr. 6'191.90 wieder vollständig zurückerstattet (vgl. Urteil des BGer 9C_327/2012 vom 7. September 2012 E. 4).</w:t>
      </w:r>
    </w:p>
    <w:p>
      <w:r>
        <w:rPr>
          <w:b/>
        </w:rPr>
        <w:t>E. 6.3</w:t>
      </w:r>
    </w:p>
    <w:p>
      <w:r>
        <w:t>Aus diesem Grund hat die Vorinstanz dem Beschwerdeführer mit Schreiben vom 10. Juni 2014 Gelegenheit eingeräumt, den bereits ausbezahlten Betrag von Fr. 6'191.90 innerhalb von 30 Tagen ab Erhalt des Schreibens auf ein angegebenes Konto zu überweisen, falls er zum jetzigen Zeitpunkt auf seinen Anspruch auf Rückerstattung verzichten wolle (act. 27). Dieses Schreiben hat der Beschwerdeführer am 28. Juni 2014 erhalten (act. 28) und hat daraufhin der Vorinstanz am 7. Juli 2014 einen Betrag von Fr. 5'902.93 überwiesen (act. 29). Danach hat ihn die Vor-instanz mit Schreiben vom 10. Juli 2014 darauf hingewiesen, dass er nicht den gesamten Betrag zurückerstattet habe und hat ihm Gelegenheit eingeräumt, den Differenzbetrag von Fr. 288.- innerhalb einer letzten Frist von 30 Tagen ab Erhalt des Schreibens zu überweisen, damit dem Antrag auf Verzicht stattgegeben werden könne (act. 31). Der Beschwerdeführer hat den Differenzbetrag innert der angesetzten Frist und auch danach bis zum Erlass des angefochtenen Einspracheentscheids am 12. August 2014 nicht geleistet. Er hat gemäss der unbestrittenen Darstellung der Vorinstanz am 31. Juli 2014 vielmehr mitgeteilt, dass er nicht die nötigen Mittel habe, um den Restbetrag zu bezahlen (act. 32).</w:t>
      </w:r>
    </w:p>
    <w:p>
      <w:r>
        <w:rPr>
          <w:b/>
        </w:rPr>
        <w:t>E. 6.4</w:t>
      </w:r>
    </w:p>
    <w:p>
      <w:r>
        <w:t>Die Rückerstattung der bereits ausbezahlten Fr. 6'191.90 ist somit nicht vollständig erfolgt, weshalb es nicht zu beanstanden ist, dass die Vorinstanz androhungsgemäss nicht von einem rechtsgültigen Rückzug des Rückvergütungsgesuchs ausging. Es lag im Verantwortungsbereich des Beschwerdeführers, den korrekten Betrag zurückzuzahlen und dabei auch allfällige Wechselkursschwankungen und Bankspesen zu berücksichtigen, die zu seinen Lasten gehen (vgl. Art. 8 Abs. 5 RV-AHV). An dieser Beurteilung vermag auch die blosse Absichtsäusserung des Beschwerdeführers in seiner Beschwerde, den Differenzbetrag doch noch zu bezahlen, nichts mehr zu ändern, zumal diese ohnehin nach dem für die Beurteilung massgebenden Zeitpunkt beim Erlass des Einspracheentscheids abgegeben wurde. Schliesslich wird vom Beschwerdeführer auch nicht geltend gemacht, dass ihm durch die Auszahlung der Beiträge vor Eintritt der Rechtskraft der Verfügung vom 31. März 2014 ein Schaden entstanden wäre. Die Rückerstattung der gestützt auf die im IK-Auszug eingetragenen Einkünfte nachvollziehbar berechneten (act. 21 und 22) und in der Höhe nicht bestrittenen AHV-Beiträge an den Beschwerdeführer ist damit rechtmässig.</w:t>
      </w:r>
    </w:p>
    <w:p>
      <w:r>
        <w:rPr>
          <w:b/>
        </w:rPr>
        <w:t>E. 7</w:t>
      </w:r>
    </w:p>
    <w:p>
      <w:r>
        <w:t>Die Beschwerde erweist sich nach dem Dargelegten als unbegründet, weshalb sie abzuweisen und der vorinstanzliche Einspracheentscheid vom 12. August 2014 zu bestätigen ist.</w:t>
      </w:r>
    </w:p>
    <w:p>
      <w:r>
        <w:rPr>
          <w:b/>
        </w:rPr>
        <w:t>E. 8</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bei diesem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