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C-5004/2009 vom 20. Januar 2010</w:t>
      </w:r>
    </w:p>
    <w:p>
      <w:r>
        <w:t>Bundesverwaltungsgericht, 2010-01-20, FR</w:t>
      </w:r>
    </w:p>
    <w:p>
      <w:r>
        <w:rPr>
          <w:b/>
        </w:rPr>
        <w:t xml:space="preserve">Quelle: </w:t>
      </w:r>
      <w:r>
        <w:t>https://mcp.opencaselaw.ch/entscheid/bvger_C-5004_2009</w:t>
      </w:r>
    </w:p>
    <w:p>
      <w:r>
        <w:t>FR: TAF C-5004/2009 du 20 janvier 2010</w:t>
      </w:r>
    </w:p>
    <w:p>
      <w:r>
        <w:t>IT: TAF C-5004/2009 del 20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RS 0.360.268.1) - sont entrés en vigueur pour la Suisse le 12 décembre 2008. En vue de la mise en oeuvre des accords d'association à Schengen, le législateur a dû procéder à des adaptations correspondantes dans la loi fédérale du 16 décembre 2005 sur les étrangers (LEtr, RS 142.20 ; cf. en particulier, l'art. 2 al. 4 LEtr). La reprise de l'acquis de Schengen a également nécessité une révision complète de l'ordonnance du 24 octobre 2007 sur la procédure d'entrée et de visas (OPEV de 2007, RO 2007 5537), qui a été remplacée par l'ordonnance du 22 octobre 2008 sur l'entrée et l'octroi de visas (OEV, RS 142.204).</w:t>
      </w:r>
    </w:p>
    <w:p>
      <w:r>
        <w:rPr>
          <w:b/>
        </w:rPr>
        <w:t>E. 3.3</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plus spécialement p. 10), correspondent pour l'essentiel à celles prévues par l'art. 5 LEtr.</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Tribunal administratif fédéral C-3209/2008 du 8 mai 2009 consid. 5).</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ressortissante de la République fédérale démocratique du Népal, B._______ est soumise à l'obligation de visa.</w:t>
      </w:r>
    </w:p>
    <w:p>
      <w:r>
        <w:rPr>
          <w:b/>
        </w:rPr>
        <w:t>E. 4</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touristique.</w:t>
      </w:r>
    </w:p>
    <w:p>
      <w:r>
        <w:rPr>
          <w:b/>
        </w:rPr>
        <w:t>E. 5</w:t>
      </w:r>
    </w:p>
    <w:p>
      <w:r>
        <w:t>Afin de déterminer si l'étranger présente les garanties nécessaires à sa sortie de Suisse, l'autorité se base, d'une part, sur la situation politique, sociale et économique prévalant dans le pays de provenance de l'intéressée (cf. ci-dessous, consid. 6) et, d'autre part, sur sa situation personnelle, familiale et professionnelle ainsi que sur les buts exposés de la visite (cf. ci-dessous, consid. 7).</w:t>
      </w:r>
    </w:p>
    <w:p>
      <w:r>
        <w:rPr>
          <w:b/>
        </w:rPr>
        <w:t>E. 6.1</w:t>
      </w:r>
    </w:p>
    <w:p>
      <w:r>
        <w:t>Concernant la situation politique, sociale et économique du Népal, il sied de préciser que ce pays a connu, entre les années 1996 et 2006, une guerre civile s'étant achevée par la signature, le 21 novembre 2006, d'un accord de paix et l'instauration d'un processus démocratique ayant permis d'aboutir, le 28 mai 2008, à l'abolition de la monarchie et l'instauration d'une république (source: www.diplomatie.gouv.fr &gt; Pays et zones géo &gt; Népal; mise à jour: 3 juillet 2009; consulté le 11 janvier 2010). Avec un PIB annuel par habitant de 388 US$, le Népal demeure un des pays les plus pauvres au monde. L'économie, dont la croissance a été fortement ralentie par les dix années de guerre, reste très centrée sur l'agriculture et très dépendante des échanges avec l'Inde voisine, bien que les changements politiques intervenus et la stabilité récemment recouvrée permettent d'entrevoir l'espoir d'une diversification et d'une accélération de la croissance (source: www.auswaertiges-amt.de &gt; Länder, Reisen und Sicherheit &gt; Nepal; état: septembre 2009; consulté le 11 janvier 2010).</w:t>
      </w:r>
    </w:p>
    <w:p>
      <w:r>
        <w:rPr>
          <w:b/>
        </w:rPr>
        <w:t>E. 6.2</w:t>
      </w:r>
    </w:p>
    <w:p>
      <w:r>
        <w:t>Il est vrai qu'au regard de la situation économique du Népal, on ne saurait d'emblée écarter les craintes émises par l'ODM de voir B._______ chercher à prolonger son séjour en Suisse ou dans l'Espace Schengen au-delà de la validité du visa sollicité. Toutefois, cette situation dans le pays d'origine ne suffit pas à conclure à l'absence de garantie quant à la sortie de Suisse et de l'Espace Schengen à l'issue du séjour, toutes les particularités du cas d'espèce devant être prises en considération.</w:t>
      </w:r>
    </w:p>
    <w:p>
      <w:r>
        <w:rPr>
          <w:b/>
        </w:rPr>
        <w:t>E. 7</w:t>
      </w:r>
    </w:p>
    <w:p>
      <w:r>
        <w:t>Il convient dès lors d'examiner la situation personnelle, professionnelle, patrimoniale et familiale de l'intéressée ainsi que les raisons ayant poussé cette dernière à requérir l'octroi d'un visa.</w:t>
      </w:r>
    </w:p>
    <w:p>
      <w:r>
        <w:rPr>
          <w:b/>
        </w:rPr>
        <w:t>E. 7.1</w:t>
      </w:r>
    </w:p>
    <w:p>
      <w:r>
        <w:t>B._______, née en 1970, est mariée et mère d'une fille âgée de quatre ans. La famille habite une confortable villa, à Katmandou. Le recourant précise que le mari de l'invitée n'accompagnera pas son épouse en Suisse et s'occupera de E._______ durant l'absence de sa mère.</w:t>
      </w:r>
    </w:p>
    <w:p>
      <w:r>
        <w:rPr>
          <w:b/>
        </w:rPr>
        <w:t>E. 7.2</w:t>
      </w:r>
    </w:p>
    <w:p>
      <w:r>
        <w:t>Concernant la situation patrimoniale et professionnelle de B._______, A._______ affirme que son invitée est propriétaire de l'hôtel (...), à Katmandou, d'un magasin de joaillerie sis dans les locaux dudit hôtel et d'une usine de production d'encens, portant la raison sociale (...). Le recourant souligne en outre que la situation financière de B._______ est très confortable, celle-ci possédant, en date du 22 octobre 2009, un solde bancaire équivalant à Fr. 35'700.-. Il sied de relever que B._______, dans le cadre de sa demande de visa, sous la rubrique "occupation actuelle", a mentionné le terme "business" et sous la rubrique "Employeur et adresse et numéro de téléphone de l'employeur", le nom et le numéro de téléphone de la fabrique d'encens susmentionnée. Des éléments de preuve versés au dossier, le Tribunal retient que B._______ est propriétaire, depuis 1997, de l'entreprise (...), dont l'activité principale est la fabrication de bâtons d'encens, et considère la situation économique de l'invitée comme étant très largement supérieure à celle de la moyenne de ses compatriotes. Certes, la propriété de l'hôtel et du magasin, éléments invoqués par A._______ dans ses écritures du 25 octobre 2009, n'a pas été prouvée à satisfaction.</w:t>
      </w:r>
    </w:p>
    <w:p>
      <w:r>
        <w:rPr>
          <w:b/>
        </w:rPr>
        <w:t>E. 7.3</w:t>
      </w:r>
    </w:p>
    <w:p>
      <w:r>
        <w:t>Le Tribunal considère malgré tout, au vu des autres éléments en sa possession se rapportant à la situation familiale et patrimoniale de B._______, que le risque que celle-ci veuille prolonger son séjour en Suisse au-delà de l'échéance de son visa apparaît minime. La position économique et sociale de l'intéressée et la présence au Népal de son mari et d'un enfant en bas âge laissent plutôt présager, avec une haute probabilité, un retour dans ce pays au terme du séjour envisagé en Suisse.</w:t>
      </w:r>
    </w:p>
    <w:p>
      <w:r>
        <w:rPr>
          <w:b/>
        </w:rPr>
        <w:t>E. 7.4</w:t>
      </w:r>
    </w:p>
    <w:p>
      <w:r>
        <w:t>L'ODM a émis des doutes quant au but du séjour de B._______ en Suisse, au vu de la durée sollicitée de celui-là (trois mois), peu compatible, selon l'autorité de première instance, avec les obligations familiales de l'invitée au Népal ainsi qu'avec celles découlant de ses affaires professionnelles. Sur ce point, il convient de relever les explications données par le recourant relatives aux buts de la visite: "B._______ est une amie de notre famille et connaît ma femme, également népalaise, depuis de très nombreuses années. La raison principale de la demande de visa de B._______ est de nous rendre visite et ainsi de passer du temps avec ma femme. Nous lui ferons également découvrir certains endroits de notre pays [...]. Nous désirons qu'elle puisse passer 3 mois avec nous. [...]" (cf. lettre du 20 mai 2009 adressée par A._______ à la Commune d'Yverdon-les-Bains). Le Tribunal se doit de préciser que l'invitée avait déjà rendu visite au recourant et à son épouse, pendant trois mois, durant l'été de l'année 2000. L'examen du dossier ne laisse apparaître aucun élément de nature à faire admettre que l'intéressée pourrait utiliser son séjour en Suisse à d'autres fins que celles annoncées. On ne saurait en outre mettre en doute la réalité des relations amicales que la requérante entretient avec D._______ et son mari.</w:t>
      </w:r>
    </w:p>
    <w:p>
      <w:r>
        <w:rPr>
          <w:b/>
        </w:rPr>
        <w:t>E. 7.5</w:t>
      </w:r>
    </w:p>
    <w:p>
      <w:r>
        <w:t>Compte tenu de l'ensemble des éléments du cas d'espèce, le Tribunal est amené à considérer que la requérante entretient, par la présence au Népal de son époux et de sa fille, par sa situation financière très enviable et par l'entreprise qu'elle détient, des liens suffisamment étroits avec son pays pour en déduire que son retour au Népal à l'échéance du visa requis peut être tenu, avec un haut degré de probabilité, pour garanti, conformément aux exigences posées par l'art. 5 al. 2 LEtr. L'autorité de céans ne voit pas quelles raisons pousseraient B._______ à abandonner sa famille et sa situation patrimoniale enviable au Népal pour mener en Suisse une vie dans des conditions plus difficiles. A l'instar du recourant, il convient de souligner que, lors de son séjour effectué en 2000, B._______, alors célibataire et sans enfant, ne bénéficiait pas de liens aussi forts avec son pays d'origine et que, pourtant, elle était retournée dans sa patrie à l'échéance du visa qui lui avait été alors accordé. Il convient encore de préciser que la simple allégation figurant dans les observations de l'ODM du 27 novembre 2009 selon laquelle "l'intéressée avait sollicité, peu après sa requête d'un visa suisse, l'octroi de visas pour les Etats-Unis et la Grande Bretagne qui lui ont tous deux été refusés" ne contient aucune précision quant à d'éventuels motifs de refus. Sans ces circonstances, elle ne saurait être déterminante pour l'issue du litige.</w:t>
      </w:r>
    </w:p>
    <w:p>
      <w:r>
        <w:rPr>
          <w:b/>
        </w:rPr>
        <w:t>E. 8</w:t>
      </w:r>
    </w:p>
    <w:p>
      <w:r>
        <w:t>Pour ces motifs, le Tribunal arrive à la conclusion que B._______ remplit les conditions d'entrée en Suisse. Toutefois, la durée du visa sollicité (trois mois) apparaît excessive au vu du but poursuivi et des implications qu'une telle durée pourrait avoir. Dès lors, le Tribunal estime qu'une durée d'un mois est suffisante, en l'espèce, pour permettre à B._______ d'effectuer la visite souhaitée à ses amis.</w:t>
      </w:r>
    </w:p>
    <w:p>
      <w:r>
        <w:rPr>
          <w:b/>
        </w:rPr>
        <w:t>E. 9</w:t>
      </w:r>
    </w:p>
    <w:p>
      <w:r>
        <w:t>En conséquence, le recours est partiellement admis, la décision entreprise annulée et la cause renvoyée pour nouvel examen à l'ODM, lequel est invité à autoriser l'entrée en Suisse de B._______ dans le but d'accomplir une visite d'un mois, après avoir déterminé si l'intéressée remplit les conditions d'entrée posées par le code frontières Schengen ou s'il convient, le cas échéant, de lui octroyer un visa à validité territoriale limitée en application de l'art. 2 al. 4 OEV.</w:t>
      </w:r>
    </w:p>
    <w:p>
      <w:r>
        <w:rPr>
          <w:b/>
        </w:rPr>
        <w:t>E. 10.1</w:t>
      </w:r>
    </w:p>
    <w:p>
      <w:r>
        <w:t>Le recourant obtenant partiellement gain de cause, il y a lieu de mettre des frais réduits à sa charge, à hauteur de Fr. 300.- (cf. art. 63 al. 1 PA et art. 1ss du règlement du 21 février 2008 concernant les frais, dépens et indemnités fixés par le Tribunal administratif fédéral [FITAF, RS 173.320.2]).</w:t>
      </w:r>
    </w:p>
    <w:p>
      <w:r>
        <w:rPr>
          <w:b/>
        </w:rPr>
        <w:t>E. 10.2</w:t>
      </w:r>
    </w:p>
    <w:p>
      <w:r>
        <w:t>Il ne se justifie par ailleurs pas d'allouer des dépens, dès lors que le recourant a agi dans la présente cause sans l'assistance d'un mandataire professionnel (cf. ATF 134 I 184 consid. 6.3, 113 Ib 357 consid. 6b, 107 Ib 283) et que l'on ne saurait considérer comme élevés les frais éventuels qu'il a eu à supporter (cf. art. 64 al. 1 PA en relation avec l'art. 7 al. 4 du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