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C-5003/2010 vom 8. Februar 2012</w:t>
      </w:r>
    </w:p>
    <w:p>
      <w:r>
        <w:t>Bundesverwaltungsgericht, 2012-02-08, DE</w:t>
      </w:r>
    </w:p>
    <w:p>
      <w:r>
        <w:rPr>
          <w:b/>
        </w:rPr>
        <w:t xml:space="preserve">Quelle: </w:t>
      </w:r>
      <w:r>
        <w:t>https://mcp.opencaselaw.ch/entscheid/bvger_C-5003_2010</w:t>
      </w:r>
    </w:p>
    <w:p>
      <w:r>
        <w:t>FR: TAF C-5003/2010 du 8 février 2012</w:t>
      </w:r>
    </w:p>
    <w:p>
      <w:r>
        <w:t>IT: TAF C-5003/2010 del 8 febbraio 2012</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der Ostschweizer BVG- und Stiftungsaufsicht vom 19. Mai 2010, welche ohne Zweifel eine Verfügung im Sinne von Art. 5 VwVG darstellt. Die Beschwerde gegen diese Verfügung ist frist- und formgerecht eingegangen (Art. 50 und 52 VwVG). Der Beschwerdeführer hat vor der Vorinstanz am Verfahren teilgenommen, ist durch die angefochtene Verfügung besonders berührt, indem er als Altersrentner Destinatär der übergebenden, in Gesamtliquidation befindlichen Vorsorgestiftung ist, deren Verteilungsplan betreffend freie Mittel durch die angefochtene Verfügung genehmigt wurde, und hat in diesem Zusammenhang ein schutzwürdiges Interesse an der Änderung oder Aufhebung der angefochtenen Verfügung (Art. 48 VwVG). Damit ist er zur Beschwerde legitimiert. Nachdem auch der eingeforderte Kostenvorschuss in der gesetzten Frist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In verfahrensmässiger Hinsicht rügt der Beschwerdeführer, sein rechtliches Gehör sei dadurch verletzt worden, dass er als Rentner und Destinatär der übergebenden Beschwerdegegnerin nicht rechtzeitig und vollständig über die vorgesehene Gesamtliquidation (vor-)informiert worden sei, wie es Art. 53d Abs. 5 BVG vorschreibe, obwohl er sich vor Erlass der angefochtenen Verfügung darum bemüht habe. Damit sei ihm das von Art. 53d Abs. 6 BVG gewährte Recht nicht zugestanden worden, die Voraussetzungen, das Verfahren und den Verteilungsplan bei der Aufsichtsbehörde gemäss dem im Vorsorgereglement der Beschwerdegegnerin vorgesehenen Einspracheverfahren überprüfen und entscheiden zu lassen. Demgegenüber machte die Beschwerdegegnerin geltend, dass Art. 53d Abs. 5 BVG bei einer Gesamtliquidation wie vorliegend anders anzuwenden sei, da die Aufsichtsbehörde die Voraussetzungen, das Verfahren und den Verteilungsplan detailliert prüfe und anschliessend verfüge. Die Destinatäre würden dann frühestens nach Erlass der Verfügung betreffend Zustimmung zur Liquidation resp. zur Genehmigung des Verteilungsplanes informiert werden. Zudem regle ihr Vorsorgereglement in Art. 27 in erster Linie die Information der versicherten Personen bezüglich Teilliquidationen.</w:t>
      </w:r>
    </w:p>
    <w:p>
      <w:r>
        <w:rPr>
          <w:b/>
        </w:rPr>
        <w:t>E. 4.2.1</w:t>
      </w:r>
    </w:p>
    <w:p>
      <w:r>
        <w:t>Im Rahmen des Verfahrens bei Teil- und Gesamtliquidationen legt Art. 53d Abs. 5 BVG eine umfassende und spezifische Informationspflicht der Vorsorgeeinrichtung zu Gunsten der Versicherten und Rentner/innen fest, denen namentlich Einsicht in die Verteilungspläne zu gewähren ist. Die Vorsorgeeinrichtung muss die Versicherten und Rentner/innen dabei unaufgefordert, rechtzeitig und vollständig informieren, indem sie insbesondere über die Erfüllung der Liquidationsvoraussetzungen, die Höhe und Berechnung der freien Mittel bzw. des Fehlbetrages und über die Kriterien des Verteilungsplanes informiert. Sie hat auch Einblick in den Verteilungsplan zu gewähren, wobei sich die Einsicht allerdings nicht auf diejenigen Berechnungsgrundlagen bezieht, welche zur Ermittlung der individuellen Anteile anderer Personen führen (Ueli Kieser in: Jacques-André Schneider/ Thomas Geiser/ Thomas Gächter, Handkommentar zum BVG und FZG, Bern 2010, Art. 53d N. 60 und 61). Auch wenn eine eigentliche Anhörung der einzelnen Destinatäre vor Erlass eines Verteilungsplanes nicht zwingend ist (Isabelle Vetter-Schreiber, BVG, Zürich 2009, 53d N. 25), sind die Betroffenen umfassend zu informieren. Die Einsicht in den Verteilungsplan wird in der Regel am Sitz der Vorsorgeeinrichtung erfolgen. Eine Information ist aber auch schriftlich möglich (Ueli Kieser, a.a.O., Art. 53d N. 62). Nachdem der Versicherte bzw. der Rentner oder die Rentnerin von den Beschlüssen der Vorsorgeeinrichtung Kenntnis genommen und den Verteilungsplan eingesehen hat, hat er oder sie das Recht, diese Beschlüsse und Verteilungsplan bei der Aufsichtsbehörde überprüfen zu lassen (Art. 53d Abs. 6 BVG; BBl 2000 2698). Diese Informationspflicht kann allerdings - auch unter Berücksichtigung eines effizienten Entscheidungsprozesses, der komplexen Materie und der hohen Zahl der zu informierenden Personen in diesem spezifischen Bereich - nicht ganz mit dem Gehörsanspruch nach Art. 29 Abs. 2 BV gleichgesetzt werden etwa in dem Sinne, dass der Stiftungsrat vor der Fassung seines Entscheids über die Festlegung des Verteilungplanes anhören müsste (vgl. Ueli Kieser, a.a.O., Art. 53d N. 60). Der Gesetzgeber wollte aber immerhin, dass die Information der Betroffenen über eine bevorstehende Teilliquidation sichergestellt wird (BBl 2000 2674) und dass diese aufgrund der erhaltenen Informationen ihre Rechte wahrnehmen können (BBl 2000 2697).</w:t>
      </w:r>
    </w:p>
    <w:p>
      <w:r>
        <w:rPr>
          <w:b/>
        </w:rPr>
        <w:t>E. 4.2.2</w:t>
      </w:r>
    </w:p>
    <w:p>
      <w:r>
        <w:t>Art. 53d BVG ist gleichermassen im Falle einer Teil- und einer Gesamtliquidation wie vorliegend anwendbar. Dies ergibt sich ohne Weiteres bereits aufgrund des Titels dieser Bestimmung, aber auch aus dem Wortlaut von dessen Absatz 5, der die eingehende informationspflicht statuiert; dies war ohne Zweifel auch die Intention des Gesetzgebers (BBl 2000 2673 f. und 2697 f.). Freilich unterscheidet sich das Aufsichtsverfahren bei einer Teilliquidation von derjenigen im Falle einer Gesamtliquidation. Währenddem die Aufsichtsbehörde gemäss Art. 53c BVG bei der Gesamtliquidation wie vor der 1. BVG-Revision in jedem Fall von Amtes wegen entscheidet, ob die Voraussetzungen und das Verfahren erfüllt sind, und den Verteilungsplan genehmigt, haben die Vorsorgeeinrichtungen im Unterschied dazu seit der 1. BVG-Revision ein Teilliquidationsreglement zu erlassen, das von der Aufsichtsbehörde zu genehmigen ist (Art. 53b BVG). Erst in einem zweiten Schritt und nur auf Ersuchen der Betroffenen hin, die entsprechend vorgängig informiert werden, wird die Aufsichtsbehörde den Verteilungsplan im konkreten Einzelfall prüfen (BBl 2000 2673 f.). Art. 53c BVG scheint damit zu Art. 53d Abs. 6 BVG tatsächlich in einem gewissen Widerspruch zu stehen, denn die Aufsichtsbehörde wird im Rahmen einer Gesamtliquidation von Amtes wegen tätig, so dass das Recht der Betroffenen, an die Aufsichtsbehörde zu gelangen, um dasselbe überprüfen zu lassen, nur bei einer Teilliquidation wirklich und vollends Sinn macht (Ueli Kieser in: Jacques-André Schneider/Thomas Geiser/Thomas Gächter, Handkommentar zum BVG und FZG, Bern 2010, Art. 53c, N. 13 und 64). Immerhin ergibt sich aber aus den Materialien, dass der Rechtsschutz der Betroffenen im Liquidationsverfahren unabhängig davon geregelt ist, dass die Aufsichtsbehörde von Amtes wegen tätig wird (vgl. BBl 2000 2698), mithin dass auch die Informationspflicht - trotz des unterschiedlichen Verfahrens - grundsätzlich auch im Rahmen einer Gesamtliquidation zu beachten ist (vgl. Ueli Kieser, a.a.O., Art. 53c N. 16). In der Regel wird die Vorsorgeeinrichtung die Betroffenen dabei auch im Falle einer Gesamtliquidation vor der Unterbreitung des Verteilungsplanes informieren, jedenfalls dann, wenn sie mit einer Fusion zusammenhängt. So besagt Art. 93 des Fusionsgesetzes vom 3. Oktober 2003 (FusG, SR 221.301), dass die beteiligten Vorsorgeeinrichtungen den Versicherten während der 30 Tage vor dem Antrag an die Aufsichtsbehörde an ihrem Sitz Einsicht in den Fusionsvertrag und in den Fusionsbericht gewähren müssen und dass die zuständigen Organe der Vorsorgeeinrichtung die Versicherten spätestens bis zum Zeitpunkt der Gewährung dieses Einsichtsrechts über die geplante Fusion und deren Auswirkungen zu informieren und sie in geeigneter Form auf die Möglichkeit der Einsichtnahme hinzuweisen haben. In diesem Fall ist es naheliegend, dass die Information auch die Elemente der Gesamtliquidation mitumfassen müsste.</w:t>
      </w:r>
    </w:p>
    <w:p>
      <w:r>
        <w:rPr>
          <w:b/>
        </w:rPr>
        <w:t>E. 4.3.1</w:t>
      </w:r>
    </w:p>
    <w:p>
      <w:r>
        <w:t>Im vorliegenden Fall hat die übernehmende Pensionskasse die Rentnerinnen und Rentner - so auch den Beschwerdeführer - mit Schreiben vom 12. Mai 2010 zu einer Informationsveranstaltung, die am 7. Juni 2010 stattfand, eingeladen (act. 18/10 und 18/11). Nach der Einladung, aber vor der Veranstaltung selbst, nämlich am 19. Mai 2010, erliess die Vorinstanz die angefochtene Verfügung, mit welcher sie unter anderem auch verfügte, dass die Information der Destinatäre, insbesondere über den Inhalt der Verfügung (einschliesslich Rechtsmittelbelehrung), dem Stiftungsrat der Beschwerdegegnerin obliege, was dieser ohne Weiteres auch mit Schreiben vom 4. Juni 2010 erledigt hat (act. 18/12). Gestützt auf diese Informationen erhob der Beschwerdeführer denn auch seine Beschwerde beim hiesigen Gericht. Damit steht fest, dass das rechtliche Gehör des Beschwerdeführers jedenfalls ab Erlass der Verfügung gewahrt worden ist. Allerdings ist ihm darin beizupflichten, dass die Beschwerdegegnerin ihrer gesetzlichen Informationspflicht gemäss Art. 53d Abs. 5 BVG im vorliegenden Fall nicht rechtzeitig nachgekommen ist. Entgegen den Ausführungen der Beschwerdegegnerin (vgl. Beschwerdeantwort act. 18, Ziff. 18) geht es nicht darum, den Betroffenen im Rahmen des Entscheidungsprozesses des Stiftungsrates ein rechtliches Gehör zu gewähren, sondern im Anschluss an den Entscheid des Stiftungsrates und - regelmässig jedenfalls im Rahmen einer Fusion - vor der Prüfung durch die Aufsichtsbehörde vom Amtes wegen, die betroffenen Versicherten und Rentner/innen auch im Rahmen einer Gesamtliquidation über die stiftungsrätlichen Beschlüsse zu informieren. Völlig unbehelflich ist der Einwand der Beschwerdegegnerin, ihr Reglement sehe in Art. 27 Ziff. 9 eine Information der Betroffenen erst nach genehmigtem Verteilungsplan vor (vgl. act. 18, S. 6): das besagte Reglement regelt dort die Teilliquidation und die Information der versicherten Personen nach Vorliegen des natürlich durch den Stiftungsrat und nicht durch die Aufsichtsbehörde genehmigten Verteilungsplanes, wie es das gesetzlich geregelte Verfahren bei Teilliquidationen auch vorsieht und was auch Sinn macht.</w:t>
      </w:r>
    </w:p>
    <w:p>
      <w:r>
        <w:rPr>
          <w:b/>
        </w:rPr>
        <w:t>E. 4.3.2</w:t>
      </w:r>
    </w:p>
    <w:p>
      <w:r>
        <w:t>Hat die Beschwerdegegnerin die besagte Informationspflicht im vorliegenden Fall verletzt, indem sie zwar zu einer Informationsveranstaltung eingeladen hat, aber zu spät, nämlich erst nachdem sie längstens die entsprechenden Unterlagen bei der Aufsichtsbehörde deponiert hatte und deren Entscheid anstand, stellt sich die Frage der Heilung dieser Verletzung. Indem die Vorinstanz selbst die Information der Destinatäre verfügte und diese sich anschliessend - sowohl gestützt auf die schriftliche Information der Beschwerdegegnerin als auch, was die Rentnerinnen und Rentner betrifft, auf die von der übernehmenden Pensionskasse erhaltenen mündlichen Informationen - beim hiesigen Gericht, welches den Fall mit umfassender Kognition beurteilt, beschweren und ohne Einschränkung mit allen Rügen wehren konnten resp. können, ist festzustellen, dass die Verletzung der Informationspflicht hiermit geheilt worden ist.</w:t>
      </w:r>
    </w:p>
    <w:p>
      <w:r>
        <w:rPr>
          <w:b/>
        </w:rPr>
        <w:t>E. 4.4</w:t>
      </w:r>
    </w:p>
    <w:p>
      <w:r>
        <w:t>Aus diesen Erwägungen ergibt sich somit, dass die Beschwerde in diesem formellen Punkt abzuweisen ist.</w:t>
      </w:r>
    </w:p>
    <w:p>
      <w:r>
        <w:rPr>
          <w:b/>
        </w:rPr>
        <w:t>E. 5.1</w:t>
      </w:r>
    </w:p>
    <w:p>
      <w:r>
        <w:t>Der Beschwerdeführer beantragt sodann in materieller Hinsicht, dass die Alters- und Hinterbliebenenrentner zusammen mit den aktiven Versicherten und den Invalidenrentnern in die gleiche Vorsorgeeinrichtung übertragen werden, statt sie zu trennen und die Erstgenannten in die BVG-Sammelstiftung der Swiss Life Zürich "abzuschieben". Demgegenüber bringt die Vorinstanz vor, dass bei der vorliegend strittigen Neuordnung der beruflichen Vorsorge keine Ermessensausübung vorliege, und macht die Beschwerdegegnerin geltend, dass die vom Stiftungsrat beschlossene Übertragung der Versichertenbestände auf zwei Vorsorgeeinrichtungen im Lichte von Art. 53e Abs. 5 bis 7 BVG zulässig sei und vom Beschwerdeführer nicht in Frage gestellt werden könne, da seine wohlerworbenen Ansprüche gewahrt worden seien. Nach dieser Bestimmung haben sich nämlich die bisherige und die neue Vorsorgeeinrichtung über den Verbleib der Rentenbezüger bei der bisherigen oder den Wechsel zur neuen Vorsorgeeinrichtung zu einigen, falls die Vorsorgeeinrichtung den Anschlussvertrag mit dem Arbeitgeber auflöst. Kommt keine Vereinbarung zustande, so verbleiben die Rentenbezüger bei der bisherigen Vorsorgeeinrichtung (Abs. 5 der genannten Bestimmung). Verbleiben die Rentenbezüger bei der bisherigen Vorsorgeeinrichtung, so bleibt der Anschlussvertrag mit Bezug auf die Rentenbezüger weiter bestehen (Abs. 6). Für den Beschwerdeführer sei allerdings diese Bestimmung nicht anwendbar, da kein Anschlussvertrag aufgelöst worden sei; falls dies dennoch der Fall gewesen wäre, hätte das Personal angehört werden müssen. 5.2.1. Die Aufsichtsbehörde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Im Rahmen einer Gesamtliquidation hat sie wie bereits dargelegt die Voraussetzungen, das Verfahren und den Verteilungsplan zu prüfen und diesen zu genehmigen (Art. 53c BVG). 5.2.2. 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Als repressive Aufsichts-mittel kommen unter anderem die Mahnung pflichtvergessener Organe, das Erteilen von Weisungen oder Auflagen in Frage, soweit die Vorsorge-einrichtung keinen Ermessensspielraum hat; sie kann auch Entscheide oder Erlasse der Stiftungsorgane aufheben oder ändern, wenn und soweit diese gesetzes- oder urkundenwidrig sind, Stiftungsorgane und Liquidatoren abberufen und einsetzen, oder die Ersatzvornahme durch Dritte auf Kosten der Stiftung oder die Einsetzung eines Beistandes oder eines interimistischen Stiftungsrates unter gleichzeitiger Enthebung des ordentlichen Stiftungsrates anordnen. Diese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(Urteil des BVGer C-5462/2008 - C-2795/2009 vom 11. April 2011 E. 4; Isabelle Vetter-Schreiber, Staatliche Haftung bei mangelhafter BVG-Aufsichtstätigkeit, Zürich 1996, S. 61 ff.; Hans Michael Riemer / Gabriela Riemer-Kafka, Das Recht der beruflichen Vorsorge in der Schweiz, 2. Auflage, Bern 2006, S. 65 f., Carl Helbling, Personalvorsorge und BVG, 8. Auflage,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wie etwa das Gleichbehandlungsgebot beachten. Im Wei­teren muss sie ihr Ermessen gestützt auf die sachlich nahe liegenden Kriterien und den Verhältnissen des Einzelfalls angemessen und damit zweckmässig ausüben (Merkli/Aeschli-mann/Herzog, Kommentar zum bernischen VRPG, Bern 1997, N 24, 26 zu Art. 66 Abs. 1 VRPG).</w:t>
      </w:r>
    </w:p>
    <w:p>
      <w:r>
        <w:rPr>
          <w:b/>
        </w:rPr>
        <w:t>E. 5.3</w:t>
      </w:r>
    </w:p>
    <w:p>
      <w:r>
        <w:t>Übereinstimmend mit der Beschwerdegegnerin kann vorliegend festgehalten werden, dass das Gesetz eine versicherungsmässige Trennung von Rentenbezügern und Aktiven desselben Arbeitgebers nicht verbietet, was mindestens indirekt aus Art. 53e BVG abgeleitet werden kann. Auch kann sich ein einzelner Destinatär nicht grundsätzlich einem derartigen "Trennungsbeschluss" widersetzen. Das vom Beschwerdeführer angerufene Gleichbehandlungsgebot geht nicht so weit, dass daraus abgeleitet werden könnte, die Aktiven und die Rentner müssten gemeinsam in dieselbe Vorsorgeeinrichtung überführt werden. Die Situation dieser beiden Versichertengruppen sind unterschiedlich, so dass ihnen nicht notwendigerweise dasselbe Schicksal ereilen muss. Auch ist die Berufung des Beschwerdeführers auf Art. 11 BVG unbehelflich. Diese Bestimmung betrifft die Mitwirkung der Arbeitnehmer im obligatorischen Bereich und nicht der Rentenbezüger, die übrigens auch nicht im Stiftungsrat vertreten werden müssen, wie der Beschwerdeführer in diesem Zusammenhang ebenfalls zu Unrecht beanstandet. Das gesetzliche Erfordernis einer paritätischen Verwaltung, wonach diese aus der gleichen Anzahl von Arbeitnehmer- und Arbeitgebervertretern bestehen muss (vgl. Art. 51 Abs. 1 BVG), betrifft nicht die Rentenbezüger.</w:t>
      </w:r>
    </w:p>
    <w:p>
      <w:r>
        <w:rPr>
          <w:b/>
        </w:rPr>
        <w:t>E. 5.4</w:t>
      </w:r>
    </w:p>
    <w:p>
      <w:r>
        <w:t>Aus diesen Erwägungen folgt, dass der Beschwerdeführer keine Neuordnung der Beschwerdegegnerin in der einen oder anderen Art oder die Zusammenführung von Aktiven und Alters- und Hinterbliebenenrentnern in derselben Vorsorgeeinrichtung verlangen kann, und dass die Vorinstanz diesbezüglich im Rahmen ihrer Rechtskontrolle mangels Gesetzes- oder Reglementsverletzung nicht einschreiten müsste. Die Beschwerde ist demzufolge in diesem Punkt abzuweisen.</w:t>
      </w:r>
    </w:p>
    <w:p>
      <w:r>
        <w:rPr>
          <w:b/>
        </w:rPr>
        <w:t>E. 6.1.1</w:t>
      </w:r>
    </w:p>
    <w:p>
      <w:r>
        <w:t>Der Beschwerdeführer beantragt des Weiteren, dass bei der Verteilung der freien Stiftungsmittel eine Rückstellung zu bilden sei, welche die Anpassung der Altersrenten an die Preisentwicklung auch in Zukunft sicherstelle. Der Gleichbehandlungsgrundsatz sei seiner Auffassung nach dadurch verletzt worden, dass zu Lasten der Altersrentner eine Rückstellung von Fr. 961'049.-- für den Einkauf der aktiven und invaliden Versicherten vorgenommen worden sei und die Verteilung der freien Mittel von Fr. 524'818.-- für die Kollektivaustritte seit 2007 reglementswidrig sei. Es sei im Zusammenhang mit der Verteilung freier Mittel zu Unrecht eine technische Rückstellung aufgelöst worden. Sofern sich die Rückstellungen auf die Vergangenheit beziehen würden, seien sie gebunden. Ein Teuerungsausgleich sei gemäss Art. 36 Abs. 2 BVG entsprechend den finanziellen Möglichkeiten der Vorsorgeeinrichtung vorzunehmen.</w:t>
      </w:r>
    </w:p>
    <w:p>
      <w:r>
        <w:rPr>
          <w:b/>
        </w:rPr>
        <w:t>E. 6.1.2</w:t>
      </w:r>
    </w:p>
    <w:p>
      <w:r>
        <w:t>Demgegenüber führt die Vorinstanz im Wesentlichen aus, dass sie in der strittigen, unter Beizug der BVG-Expertin detailliert gestaltete Neuordnung der beruflichen Vorsorge weder eine Ermessensüberschreitung noch einen Ermessensmissbrauch erkannt habe, so dass sie keinen Anlass gesehen habe, sie nicht zu genehmigen. Seinerseits macht die Beschwerdegegnerin geltend, dass die Verteilkriterien nachvollziehbar und fachlich anerkannt seien. Die freien Mittel seien erst nach Übertragung der notwendigen Deckungskapitalien zu verteilen gewesen, und zwar nach dem vorgesehenen Schlüssel unter Berücksichtigung aller Versicherten. Deshalb hätten die Aktiven und die Invalidenrentner eingekauft werden müssen (Fr. 961'049.--) und seien den Kollektivaustritten gemäss Art. 53d Abs. 1 BVG in Verbindung mit Art. 27h BVV2 Rückstellungen und Schwankungsreserven mitzugeben gewesen (Fr. 524'818.--). Mit Fr. 288'429.-- seien ein Drittel der dann noch verbliebenen freien Mittel (Fr. 886'494.--) für die an die BVG-Sammelstiftung übertragenen Personengruppe verwendet worden. Die Rückstellung sei im Hinblick auf den Einkauf einer bereits früher ausgerichteten Teuerungszulage für die laufenden Renten der Beschwerdegegnerin gebildet worden. Aus dieser branchenüblichen Einmaleinlage, zur Rentenerhöhung, habe eine einmalige Erhöhung der laufenden Renten für diejenigen Rentenbezüger resultiert, denen bereits früher eine solche Teuerungszulage ausgerichtet worden sei. Eine Rückstellung für zukünftige Rentenerhöhungen für alle sei nicht geleistet worden (vgl. Duplik, act. 28 Ziff. 13).</w:t>
      </w:r>
    </w:p>
    <w:p>
      <w:r>
        <w:rPr>
          <w:b/>
        </w:rPr>
        <w:t>E. 6.2</w:t>
      </w:r>
    </w:p>
    <w:p>
      <w:r>
        <w:t>Als Kriterien für die Genehmigung des Verteilungsplanes können diejenigen herangezogen werden, die in Art. 53d BVG festgehalten sind, insbesondere der Grundsatz, wonach das Vermögen dem Personal zu folgen hat, und der Grundsatz der Gleichbehandlung (Ueli Kieser, a.a.O., Art. 53c, N 18). Dem Stiftungsrat steht bei der Festlegung der objektiven Kriterien unter Berücksichtigung des Stiftungszwecks, der Grundsätze der Verhältnismässigkeit, der Gleichbehandlung und des guten Glaubens (vgl. bereits nach dem Recht vor der 1. BVG-Revision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ein grosser Ermessensspielraum zu, in welchen die Aufsichtsbehörde nicht eingreifen kann. Der ab dem 1. Januar 2005 geltende Art. 53d Abs. 1 BVG, wonach die Liquidation der Vorsorgeeinrichtung unter Berücksichtigung des Gleichbehandlungsgrundsatzes und nach fachlich anerkannten Grundsätzen durchgeführt werden muss, bekräftigt diese bisherige Praxis und Rechtsprechung. Danach hat die Aufsichtsbehörde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101Ib 235 E. 2; SVR 2001, BVG Nr. 14; Isabelle Vetter-Schreiber, Berufliche Vorsorge, Kommentar, Zürich 2009, BVG 53b N 21).</w:t>
      </w:r>
    </w:p>
    <w:p>
      <w:r>
        <w:rPr>
          <w:b/>
        </w:rPr>
        <w:t>E. 6.3.1</w:t>
      </w:r>
    </w:p>
    <w:p>
      <w:r>
        <w:t>In der angefochtenen Verfügung hat die Vorinstanz hinsichtlich der Verteilung der freien Stiftungsmittel gestützt auf die detaillierte Berechnung und den Bericht der BVG-Expertin vom 9. Februar 2010, der L._______AG, Ziffer 5 S. 10 ff. (vgl. vorinstanzliche Akten) nachvollziehbar und überzeugend dargelegt, weshalb sie den Verteilplan genehmigte. Die ausgehend vom Verteilsubstrat am Bilanzstichtag von Fr. 2'341'979.-- abgezogenen Rückstellungen einerseits von Fr. 961'049.-- für den notwendigen Einkauf der aktiven und invaliden Versicherten in die Rückstellungen der übernehmenden Vorsorgeeinrichtung und andererseits, gestützt auf Art. 27h BVV2, von Fr. 524'818.-- für die Kollektivaustritte in der Zeit vom 30. September 2007 bis 31. Dezember 2008 sind von der BVG-Expertin schlüssig begründet worden und stellen in keiner Weise eine Verletzung des Gleichbehandlungsgrundsatzes zu Lasten der Altersrentner dar. Nach Abzug dieser beiden korrekten Rückstellungen verblieben freie Mittel von Fr. 886'494.-- zur Verteilung an die Destinatäre, wovon die Alters-, Hinterlassenen- und Waisenrentner Fr. 288'429.--erhalten. Auch in dieser Verteilung gemäss den Verteilkriterien und den Berechnungen der BVG-Expertin kann das Gericht keine Verletzung des Gleichbehandlungsgrundsatzes respektive eine Übervorteilung der Aktiven und der Invalidenrentner erblicken. Es kann hier im Übrigen auf den angefochtenen Entscheid verwiesen werden.</w:t>
      </w:r>
    </w:p>
    <w:p>
      <w:r>
        <w:rPr>
          <w:b/>
        </w:rPr>
        <w:t>E. 6.3.2</w:t>
      </w:r>
    </w:p>
    <w:p>
      <w:r>
        <w:t>Was die Sicherstellung eines zukünftigen Teuerungsausgleichs anbelangt, kann der Beschwerdeführer aus Art. 36 Abs. 2 BVG nichts für sich ableiten. Nach dieser Bestimmung werden die Alters- und Hinterlassenenrenten entsprechend den finanziellen Möglichkeiten der Vorsorgeeinrichtung der Preisentwicklung angepasst gestützt auf jährliche Beschlüsse des Stiftungsrates. Ein weitergehender Anspruch besteht nicht.</w:t>
      </w:r>
    </w:p>
    <w:p>
      <w:r>
        <w:rPr>
          <w:b/>
        </w:rPr>
        <w:t>E. 6.3.3</w:t>
      </w:r>
    </w:p>
    <w:p>
      <w:r>
        <w:t>Damit ist die angefochtene Verfügung in diesem Punkte ebenfalls zu schützen.</w:t>
      </w:r>
    </w:p>
    <w:p>
      <w:r>
        <w:rPr>
          <w:b/>
        </w:rPr>
        <w:t>E. 7.1</w:t>
      </w:r>
    </w:p>
    <w:p>
      <w:r>
        <w:t>Zusammenfassend ergibt sich, dass die Beschwerde vollumfänglich abzuweisen ist.</w:t>
      </w:r>
    </w:p>
    <w:p>
      <w:r>
        <w:rPr>
          <w:b/>
        </w:rPr>
        <w:t>E. 7.2</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1'500.-- festgelegt.</w:t>
      </w:r>
    </w:p>
    <w:p>
      <w:r>
        <w:rPr>
          <w:b/>
        </w:rPr>
        <w:t>E. 7.3</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Eidgenössisches Versicherungsgericht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angewandt hat (Urteile C-3268/2009 vom 29. September 2011 E. 8.2; C-5462/2008 und C-2795/2009 vom 11. April 2011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