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C-5003/2009 vom 16. Juni 2010</w:t>
      </w:r>
    </w:p>
    <w:p>
      <w:r>
        <w:t>Bundesverwaltungsgericht, 2010-06-16, IT</w:t>
      </w:r>
    </w:p>
    <w:p>
      <w:r>
        <w:rPr>
          <w:b/>
        </w:rPr>
        <w:t xml:space="preserve">Quelle: </w:t>
      </w:r>
      <w:r>
        <w:t>https://mcp.opencaselaw.ch/entscheid/bvger_C-5003_2009</w:t>
      </w:r>
    </w:p>
    <w:p>
      <w:r>
        <w:t>FR: TAF C-5003/2009 du 16 juin 2010</w:t>
      </w:r>
    </w:p>
    <w:p>
      <w:r>
        <w:t>IT: TAF C-5003/2009 del 16 giugno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 ha il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jurisprudence récente du Tribunal fédéral en matière de police des étrangers, Revue de droit administratif et de droit fiscal [RDAF] 1997 I, pag. 287). Come già considerato nella decisione impugnata,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precitato, FF 2002 3327 nonché DTF 135 II 1 consid. 1.1).</w:t>
      </w:r>
    </w:p>
    <w:p>
      <w:r>
        <w:rPr>
          <w:b/>
        </w:rPr>
        <w:t>E. 4.1</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Le condizioni d'entrata previste dal codice frontiere Schengen corrispondono essenzialmente a quelle di cui all'art. 5 cpv. 1 della legge federale del 16 dicembre 2005 sugli stranieri (LStr, RS 142.20).</w:t>
      </w:r>
    </w:p>
    <w:p>
      <w:r>
        <w:rPr>
          <w:b/>
        </w:rPr>
        <w:t>E. 4.2</w:t>
      </w:r>
    </w:p>
    <w:p>
      <w:r>
        <w:t>L'art. 5 cpv. 2 LStr esige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5</w:t>
      </w:r>
    </w:p>
    <w:p>
      <w:r>
        <w:t>L'art. 1 § 1 e 2 del Regolamento n. 539/2001 del Consiglio del 15 marzo 2001 (GU L 81 del 21 marzo 2001, pag. 1-7) distingue tra i cittadini dei paesi terzi a dipendenza dell'obbligo del visto. I cittadini di paesi terzi elencati nell'allegato I del precitato regolamento devono essere in possesso di un visto all'atto dell'attraversamento delle frontiere esterne degli Stati membri. Considerato che la Mongolia figura in questo allegato, B._______ soggiace all'obbligo del visto.</w:t>
      </w:r>
    </w:p>
    <w:p>
      <w:r>
        <w:rPr>
          <w:b/>
        </w:rPr>
        <w:t>E. 6.1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6.2</w:t>
      </w:r>
    </w:p>
    <w:p>
      <w:r>
        <w:t>A tale proposito occorre prendere in considerazione la qualità di vita e le difficili condizioni economiche e sociali con cui è confrontata la popolazione della Mongolia, dove nel 2008 il prodotto interno lordo (PIL) pro capite ammontava a 1'972 USD e il tasso di inflazione si situava al 30 %. Nel 2009, in conseguenza alla crisi finanziaria mondiale, vi è stato un rallentamento della crescita economica, ciò che ha comportato una diminuzione del PIL a 1'900 USD. Sul piano economico, la Mongolia resta un paese povero che dispone di un'economia di modeste dimensioni. I donatori internazionali (Giappone, Banca mondiale e Fondo monetario internazionale in testa) provvedono in ragione del 25 % degli introiti nazionali, ciò che fa di questo Paese quello più sovvenzionato al mondo. Più di un terzo della popolazione vive attualmente sotto la soglia della povertà (fonti: sito internet del Ministero francese degli affari esteri, &lt;http://www.diplomatie.gouv.fr/fr/&gt;, Pays - zones géo &gt; Mongolie, ultimo aggiornamento: 25 gennaio 2010, consultato l'8 giugno 2010; sito internet dell'Ufficio degli affari esteri tedesco, &lt;www.auswaertiges-amt.de&gt;, Länder, Reisen und Sicherheit &gt; Mongolei &gt; Wirtschaftspolitik; ultimo aggiornamento: aprile 2010, consultato l'8 giugno 2010 e il sito internet della Banca mondiale, &lt;www.worldbank.org&gt;, Countries &gt; Mongolia &gt; Country Overview &gt; Country Brief, ultimo aggiornamento: aprile 2009, consultato l'8 giugno 2010).</w:t>
      </w:r>
    </w:p>
    <w:p>
      <w:r>
        <w:rPr>
          <w:b/>
        </w:rPr>
        <w:t>E. 6.3</w:t>
      </w:r>
    </w:p>
    <w:p>
      <w:r>
        <w:t>Tenuto conto delle considerazioni relative alla situazione socio-economica nella Mongolia e del fatto che la predisposizione a lasciare il proprio paese d'origine è favorita, allorquando parenti o conoscenti si trovano all'estero, la valutazione dell'UFM inerente al rischio relativamente elevato del non rispetto dell'uscita dallo spazio Schengen entro i termini prestabiliti, non può essere contestata. Inoltre si constata che la pressione migratoria, come lo dimostra l'esperienza, risulta essere elevata soprattutto in presenza di persone giovani che non hanno particolari legami famigliari o professionali che li vincola al loro Paese d'origine. Ciò nonostante trarre delle conclusioni basandosi unicamente sulla situazione generale del paese d'origine, porterebbe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6.4</w:t>
      </w:r>
    </w:p>
    <w:p>
      <w:r>
        <w:t>Dalle risultanze agli atti è emerso che il ricorrente ha 25 anni, è celibe e non ha figli. Come sollevato a giusto titolo dall'autorità inferiore, per quanto attiene ai suoi legami famigliari non sono state addotte informazioni rilevanti per poter considerare l'uscita dallo spazio Schengen sufficientemente garantita. La ricorrente ha affermato che l'invitato intrattiene una relazione "more uxorio". Tale relazione non è tuttavia comprovata da nessuna pezza giustificativa e inoltre giova rilevare che anche in presenza di legami familiari o affettivi, la pressione migratoria può spesso condurre a lasciare i propri cari alla volta di una situazione di vita migliore atta ad agevolare anche le persone rimaste in Patria. Per quanto attiene ai suoi legami professionali, si constata che il richiedente ha dapprima lavorato quale Sales Manager presso la ditta C._______ percependo uno stipendio mensile di 320'000 MNT che equivalgono a circa fr. 270.-. Dall'ulteriore documentazione prodotta il 1° febbraio 2010 è emerso che l'interessato ha preso in gestione un ristorante e una società a responsabilità limitata. Dagli atti non risulta se l'interessato abbia lasciato o meno la sua precedente attività dipendente. Ora, il fatto che l'interessato possa allontanarsi per tre mesi, porta il Tribunale a concludere che le nuove attività appena intraprese non comportano - almeno per il momento - legami professionali effettivamente concreti che permettono di ritenere il rischio migratorio minimo. La ricorrente ha in un primo tempo affermato che il fratello intendeva aprire una caffetteria assieme alla madre: tale attività potrebbe dunque essere presa in gestione dalla madre di quest'ultimo ciò che la rende ancor meno vincolante per l'interessato. A tale proposito va considerato che con scritto del 13 aprile 2010 il richiedente ha richiesto la documentazione inviata allo scopo di recarsi negli Stati Uniti d'America, ciò che rafforza quanto ritenuto poc'anzi in merito agli obblighi professionali dell'invitato. Il fatto che egli sia proprietario di un'abitazione non rappresenta in concreto un ostacolo effettivo ad un'eventuale emigrazione, in quanto tale abitazione può essere amministrata dai parenti rimasti in Mongolia e/o affittata a terze persone. Va poi sottolineato che la circostanza di avere la sorella in Svizzera, potrebbe motivare il richiedente a prendere in considerazione una permanenza prolungata in Svizzera. Infine si osserva che la Rappresentanza di Svizzera a Beijing, la quale è a conoscenza degli usi e costumi della regione in questione, ha anch'essa rifiutato con decisione informale la richiesta di visto il giorno stesso in cui è stata presentata la domanda.</w:t>
      </w:r>
    </w:p>
    <w:p>
      <w:r>
        <w:rPr>
          <w:b/>
        </w:rPr>
        <w:t>E. 7.1</w:t>
      </w:r>
    </w:p>
    <w:p>
      <w:r>
        <w:t>Dai considerandi precedenti, ne discende che l'autorità di prime cure ha rilevato a giusto titolo sulla base della situazione agli atti, che l'uscita dallo spazio Schengen entro i termini stabiliti dopo un soggiorno per visita e vacanza non è sufficientemente garantita. Le dichiarazioni fornite dagli ospitanti in relazione alla presa a carico delle spese del soggiorno auspicato e alle assicurazione secondo le quali l'interessato lascerebbe lo spazio Schengen allo spirare del visto, non sono tali da impedirgli, una volta entrato nel territorio elvetico, di intraprendere i passi necessari per stabilirvisi durevolmente (cfr. DTAF 2009/27 consid. 9 e sentenza del Tribunale amministrativo federale C-6204/2009 del 31 maggio 2010 consid. 10).</w:t>
      </w:r>
    </w:p>
    <w:p>
      <w:r>
        <w:rPr>
          <w:b/>
        </w:rPr>
        <w:t>E. 7.2</w:t>
      </w:r>
    </w:p>
    <w:p>
      <w:r>
        <w:t>Si precisa inoltre che il rifiuto dell'autorizzazione d'entrata non mette in questione la buona fede o l'onestà delle persone che risiedono regolarmente in Svizzera, le quali hanno invitato persone straniere domiciliate all'estero per un soggiorno turistico e di visita e si sono dichiarate disposte a garantire i costi del soggiorno e la partenza dei loro invitati.</w:t>
      </w:r>
    </w:p>
    <w:p>
      <w:r>
        <w:rPr>
          <w:b/>
        </w:rPr>
        <w:t>E. 8</w:t>
      </w:r>
    </w:p>
    <w:p>
      <w:r>
        <w:t>Ne discende che l'UFM con decisione del 12 giugno 2009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