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C-5001/2014 vom 30. Juni 2015</w:t>
      </w:r>
    </w:p>
    <w:p>
      <w:r>
        <w:t>Bundesverwaltungsgericht, 2015-06-30, FR</w:t>
      </w:r>
    </w:p>
    <w:p>
      <w:r>
        <w:rPr>
          <w:b/>
        </w:rPr>
        <w:t xml:space="preserve">Quelle: </w:t>
      </w:r>
      <w:r>
        <w:t>https://mcp.opencaselaw.ch/entscheid/bvger_C-5001_2014</w:t>
      </w:r>
    </w:p>
    <w:p>
      <w:r>
        <w:t>FR: TAF C-5001/2014 du 30 juin 2015</w:t>
      </w:r>
    </w:p>
    <w:p>
      <w:r>
        <w:t>IT: TAF C-5001/2014 del 30 giugno 2015</w:t>
      </w:r>
    </w:p>
    <w:p>
      <w:pPr>
        <w:pStyle w:val="Heading2"/>
      </w:pPr>
      <w:r>
        <w:t>Regeste</w:t>
      </w:r>
    </w:p>
    <w:p>
      <w:r>
        <w:t>Interdiction d'entrée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 3.1 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règlement modifié en dernier lieu par le règlement (UE) n° 610/2013, JO L 182 du 29 juin 2013, p. 1]. L'art. 5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 3.2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L'OASA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4.1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4.2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4.3.2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4.3.3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C-847/2013 du 21 mars 2014 consid. 5.3.3, avec jurispr. cit.). 4.4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 5.1 En l'occurrence, l'autorité intimée a prononcé le 9 juillet 2014 à l'encontre de X._______ une décision d'interdiction d'entrée en Suisse d'une durée de trois ans, au motif qu'elle avait attenté à la sécurité et à l'ordre publics au sens de l'art. 67 LEtr en entrant dans l'Espace Schengen, en particulier en Suisse, sans être en possession d'un passeport national valable et d'un visa requis et en y séjournant sans être au bénéfice d'une autorisation de séjour idoine. 5.2 5.2.1 Comme mentionné ci-dessus (cf. consid. 3.1), l'art. 5 al. 1 LEtr, dont le contenu coïncide avec l'art. 5 par. 1 du code frontières Schengen, stipule que pour entrer en Suisse, tout étranger doit avoir une pièce de légitimation reconnue pour le passage de la frontière et être muni d'un visa si ce dernier est requis. Reprenant le contenu de l'art. 5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5, par.1, let. b, et art. 34, par.1, let. a du code frontières Schengen), sont libérés de l'obligation de visa. 5.2.2 En l'espèce, en tant que ressortissante marocaine, X._______ est soumise à l'obligation de visa (cf. sur cette problématique, le site internet du SEM: www.bfm.admin.ch &gt; Entrée &amp; séjour &gt; Entrée &gt; Directives Visas &gt; VII. Visas &gt; Séjour supérieurs à 90 jours &gt; Directives du SEM en matière d'octroi de visas nationaux &gt; Annexe 1, liste 1: Prescriptions documents de voyage et de visas selon nationalité &gt; Maroc; version du 29 mai 2015; site internet consulté en juin 2015). Lors de l'audition suivant son interpellation, le 8 juillet 2014, au passage frontière de Moillesulaz, la prénommée a reconnu être entrée dans l'Espace Schengen (Espagne, France), puis en Suisse, tout en étant démunie de passeport national et de visa et avoir séjourné sur le territoire helvétique depuis 2008, exception faite d'un court séjour de 4 mois en Allemagne en 2009. X._______ n'a donc pas respecté les prescriptions des art. 5 al. 1 let. a et 10 à 12 LEtr. Les infractions de police des étrangers reprochées à la prénommé, " entrée sans le visa requis et sans un passeport national valable, séjour sans autorisation idoine ", sont ainsi clairement réalisées. 5.2.3 Dans son mémoire de recours, la recourante fait valoir qu'elle a dû quitter son pays d'origine au vu de la misère qui y régnait, que son ami, ressortissant suisse, a l'intention de l'épouser dès qu'il sera divorcé et qu'elle suit un traitement médical aux HUG, où une opération est programmée. Le Tribunal ne saurait retenir de tels arguments. En l'espèce, les faits reprochés à X._______ dans la mesure d'éloignement (infractions aux prescriptions de police des étrangers) sont établis. Cela étant, ils portent atteinte à la sécurité et à l'ordre publics au sens de l'art. 80 al. 1 let. a OASA et à cet égard, peu importe les raisons de sa venue en Suisse ou de la poursuite de son séjour en ce pays. L'intéressée se devait de respecter la législation en vigueur en Suisse, ce qu'elle n'a manifestement pas fait en l'état. 5.3 Compte tenu de ce qui précède, force est d'admettre que l'interdiction d'entrée prononcée le 9 juillet 2014 en application de l'art. 67 LEtr est parfaitement justifiée dans son principe, X._______ ayant bien attenté à la sécurité et à l'ordre publics par son comportement. A cet égard, il sied de rappeler (cf. consid. 4.3.2 supra) qu'aux termes de l'art. 80 al. 1 let. a OASA, il y a notamment atteinte à la sécurité et à l'ordre publics en cas de violation de prescriptions légales ou de décisions d'autorités. Or, comme évoqué ci-avant et tel est précisément le cas en l'espèce, le fait d'entrer illégalement en Suisse et d'y séjourner sans autorisation idoine constitue bien une violation des prescriptions légales, faits pour lesquels elle a d'ailleurs été condamnée (cf. consid. B).</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TAF C-1487/2013 du 19 mai 2014 consid. 6.1 et les arrêts cités).</w:t>
      </w:r>
    </w:p>
    <w:p>
      <w:r>
        <w:rPr>
          <w:b/>
        </w:rPr>
        <w:t>E. 6.2</w:t>
      </w:r>
    </w:p>
    <w:p>
      <w:r>
        <w:t>En l'espèce, il appert que les motifs retenus à l'appui de la mesure d'éloignement prise à l'endroit de X._______ (entrée illégale, séjour illégal) ne sauraient être contestés. L'infraction aux prescriptions de police des étrangers ainsi perpétrée doit être qualifiée de grave au sens indiqué plus haut (cf. consid. 4.3.3).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w:t>
      </w:r>
    </w:p>
    <w:p>
      <w:r>
        <w:rPr>
          <w:b/>
        </w:rPr>
        <w:t>E. 6.3</w:t>
      </w:r>
    </w:p>
    <w:p>
      <w:r>
        <w:t>Dans le cadre de l'analyse du principe de proportionnalité au sens étroit, l'intérêt privé de la recourante à pouvoir venir en Suisse est un élément qui doit être examiné. Elle a ainsi indiqué, d'une part, devoir poursuivre un traitement médical relatif à une affection gynécologique ne pouvant être traitée au Maroc et nécessitant une prochaine opération aux HUG et, d'autre part, concrétiser ses projets de mariage avec un ressortissant suisse dès le divorce de ce dernier prononcé. Comme l'a déjà relevé le TAPI-GE dans son jugement du 30 octobre 2014, la recourante n'a pas démontré qu'elle ne pourrait pas poursuivre son traitement médical (injections de fer, prise de médicaments) dans son pays d'origine ou y subir l'opération envisagée par les HUG. En outre, s'agissant de son compagnon suisse, même si celui-ci a déclaré être disposé à épouser la recourante, il n'en demeure pas moins, à la connaissance du Tribunal, qu'il est toujours marié et qu'en l'absence d'indice concret d'un mariage imminent (cf. arrêt du Tribunal fédéral 2C_31/2010 du 23 mars 2010 et jurisprudence citée), l'intéressée ne peut invoquer le respect de la vie privée et familiale au sens de l'art. 8 de la Convention du 4 novembre 1950 de sauvegarde des droits de l'homme et des libertés fondamentales (CEDH; RS 0.101). Par ailleurs, il convient de rappeler que la conclusion de la recourante tendant à pouvoir séjourner en Suisse jusqu'au terme de son opération est irrecevable (cf. consid. 1.4) et n'a donc pas à être prise en compte dans l'examen de la proportionnalité au sens étroit de la décision de l'autorité inférieure. Aussi, l'intérêt privé de l'intéressée à pouvoir se déplacer librement en Suisse ne saurait, dans ces conditions, être considéré comme prépondérant par rapport à l'intérêt public à son éloignement.</w:t>
      </w:r>
    </w:p>
    <w:p>
      <w:r>
        <w:rPr>
          <w:b/>
        </w:rPr>
        <w:t>E. 6.4</w:t>
      </w:r>
    </w:p>
    <w:p>
      <w:r>
        <w:t>Dans son recours, X._______ s'est référée à un arrêt du Tribunal de céans (arrêt du Tribunal administratif fédéral en la cause C-4717/2012 du 5 avril 2013) dans lequel une ressortissante nigériane avait été condamnée par le Ministère public de l'arrondissement de Lausanne pour faux dans les certificats et infraction à la loi fédérale sur les étrangers (travail illégal) et avait fait l'objet d'une interdiction d'entrée d'une durée de trois ans. La recourante a affirmé que, par rapport à son propre cas, où elle n'avait pas commis d'infraction pénale hormis la violation des prescriptions en matière de droit des étrangers, l'autorité inférieure avait violé l'art. 67 LEtr en prononçant une mesure d'éloignement d'une durée aussi longue (3 ans). Le Tribunal constate à ce propos que, dans la cause précitée, la ressortissante nigériane avait travaillé sans autorisation en Suisse pendant une année et demie et avait utilisé un abonnement général des CFF établi au nom de sa soeur, mais portant sa propre photographie, faits pour lesquels elle avait été condamnée à 90 jours-amende, avec sursis pendant deux ans, ainsi qu'à une amende de 640 francs. Dans le cas de la recourante, cette dernière a séjourné sans autorisation en Suisse durant une période quatre fois plus longue que celle mentionnée ci-avant et a été condamnée par ordonnance du Ministère public à une peine plus lourde (120 jours-amende) et avec un sursis plus long. Aussi est-ce en vain que la recourante se prévaut d'une prétendue violation du principe de l'égalité de traitement en relation avec l'arrêt précité.</w:t>
      </w:r>
    </w:p>
    <w:p>
      <w:r>
        <w:rPr>
          <w:b/>
        </w:rPr>
        <w:t>E. 6.5</w:t>
      </w:r>
    </w:p>
    <w:p>
      <w:r>
        <w:t>Enfin, le Tribunal constate, au vu de l'ensemble du dossier, qu'il n'existe pas de raisons humanitaires ou d'autres motifs importants justifiant l'abstention ou la suspension de la mesure d'éloignement au sens de de l'art. 67 al. 5 LEtr.</w:t>
      </w:r>
    </w:p>
    <w:p>
      <w:r>
        <w:rPr>
          <w:b/>
        </w:rPr>
        <w:t>E. 6.6</w:t>
      </w:r>
    </w:p>
    <w:p>
      <w:r>
        <w:t>Tenant compte de l'ensemble des éléments objectifs et subjectifs de la cause, le Tribunal conclut que la mesure d'éloignement prise par l'autorité inférieure le 9 juillet 2014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7</w:t>
      </w:r>
    </w:p>
    <w:p>
      <w:r>
        <w:t>S'agissant de la requête de la recourante tendant à l'audition de son ami, Y._______, il est à relever que, de jurisprudence constante, le droit d'être entendu garanti par la disposition de l'art. 29 al. 2 de la Constitution fédérale de la Confédération suisse du 18 avril 1999 (Cst., RS 101) ne confère aucun droit à l'oralité de la procédure (cf. notamment ATF 134 I 140 consid. 5.3 et 130 II 425 consid. 2.1; voir aussi l'arrêt du TAF C- 5465/2008 du 18 janvier 2010 consid. 11 et les réf. citées). De même, cette disposition ne donne notamment pas aux parties le droit de s'exprimer verbalement devant l'autorité appelée à prendre une décision, ni celui d'obtenir l'audition de témoins (cf. notamment ATF 130 précité et l'arrêt du Tribunal fédéral 4A_15/2010 du 15 mars 2010 consid. 3.2). En outre, l'audition de témoins n'est prévue qu'à titre subsidiaire en procédure administrative (art. 14 al. 1 PA [cf. ATF 130 II 169 consid. 2.3.3 et 2.3.4]). Aussi n'est-ce que dans des circonstances tout à fait exceptionnelles et pour autant qu'une telle mesure soit indispensable à l'établissement des faits qu'il est procédé à une telle audition (cf. également l'arrêt du Tribunal fédéral 1C_135/2009 du 17 juillet 2009 consid. 3.4). Dans le cas d'espèce, le Tribunal estime que l'état de fait pertinent apparaît suffisamment établi par les pièces des dossiers afférant à la présente cause et qu'il peut ainsi se dispenser de procéder à des mesures d'investigation complémentaires dans cette affaire (cf. ATF 136 I 229 consid. 5.3 p. 236s., ATF130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C-1721/2011 du 28 mars 2012 consid. 7 et jurisprudence citée).</w:t>
      </w:r>
    </w:p>
    <w:p>
      <w:r>
        <w:rPr>
          <w:b/>
        </w:rPr>
        <w:t>E. 8</w:t>
      </w:r>
    </w:p>
    <w:p>
      <w:r>
        <w:t>Vu ce qui précède, le Tribunal est amené à conclure que la décision querellée est conforme au droit (cf. art. 49 PA). Le recours est en conséquence rejeté, dans la mesure où il est recevable. Au vu de l'issue de la procédure,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