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C-4/2022 vom 28. Januar 2021</w:t>
      </w:r>
    </w:p>
    <w:p>
      <w:r>
        <w:t>Bundesverwaltungsgericht, 2021-01-28, FR</w:t>
      </w:r>
    </w:p>
    <w:p>
      <w:r>
        <w:rPr>
          <w:b/>
        </w:rPr>
        <w:t xml:space="preserve">Quelle: </w:t>
      </w:r>
      <w:r>
        <w:t>https://mcp.opencaselaw.ch/entscheid/bvger_C-4_2022_d20210128</w:t>
      </w:r>
    </w:p>
    <w:p>
      <w:r>
        <w:t>FR: TAF C-4/2022 du 28 janvier 2021</w:t>
      </w:r>
    </w:p>
    <w:p>
      <w:r>
        <w:t>IT: TAF C-4/2022 del 28 gennaio 2021</w:t>
      </w:r>
    </w:p>
    <w:p>
      <w:pPr>
        <w:pStyle w:val="Heading2"/>
      </w:pPr>
      <w:r>
        <w:t>Regeste</w:t>
      </w:r>
    </w:p>
    <w:p>
      <w:r>
        <w:t>Remboursement des cotisations | Assurance-vieillesse et survivants (décision du 28 janvier 2021). Le TF a refusé d'entrer en matière sur le recours.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let. b LTAF), qu’au vu du sort du litige, il ne sera pas perçu de frais de procédure (art. 63 al. 1 PA et 6 let. b du règlement du 21 février 2008 concernant les frais, dépens et indemnités fixés par le Tribunal administratif fédéral [FITAF ; RS 173.320.2]), ni alloué de dépens (art. 64 al. 1 PA et 7 al. 1 et 3 FITAF),</w:t>
      </w:r>
    </w:p>
    <w:p>
      <w:r>
        <w:t>(le dispositif figure à la page suivante)</w:t>
      </w:r>
    </w:p>
    <w:p>
      <w:r>
        <w:t>C-4/2022 Page 5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