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C-4/2019 vom 26. September 2019</w:t>
      </w:r>
    </w:p>
    <w:p>
      <w:r>
        <w:t>Bundesverwaltungsgericht, 2019-09-26, IT</w:t>
      </w:r>
    </w:p>
    <w:p>
      <w:r>
        <w:rPr>
          <w:b/>
        </w:rPr>
        <w:t xml:space="preserve">Quelle: </w:t>
      </w:r>
      <w:r>
        <w:t>https://mcp.opencaselaw.ch/entscheid/bvger_C-4_2019</w:t>
      </w:r>
    </w:p>
    <w:p>
      <w:r>
        <w:t>FR: TAF C-4/2019 du 26 septembre 2019</w:t>
      </w:r>
    </w:p>
    <w:p>
      <w:r>
        <w:t>IT: TAF C-4/2019 del 26 settembre 2019</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particolare circa lo stato di salute della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Oggetto del contendere, è il quesito se l'autorità inferiore ha proceduto ad un sufficiente accertamento dei fatti giuridicamente rilevanti prima di rendere la decisione impugnata oppure - come sostenuto dalla ricorrente - avrebbe dovuto fare eseguire ulteriori accertamenti medici specialistici per potersi determinare con cognizione di causa - secondo il grado della verosimiglianza preponderante valido nelle assicurazioni sociali - sul suo stato di salute rispettivamente sulla sua residua capacità lavorativa.</w:t>
      </w:r>
    </w:p>
    <w:p>
      <w:r>
        <w:rPr>
          <w:b/>
        </w:rPr>
        <w:t>E. 4.1</w:t>
      </w:r>
    </w:p>
    <w:p>
      <w:r>
        <w:t>A tal proposito, va in particolare analizzato se la proposta dell'UAIE d'ammissione del ricorso, d'annullamento della decisione impugnata e di rinvio della causa all'amministrazione affinché venga proceduto conformemente alla presa di posizione dell'Ufficio AI del Cantone C._______ (competente ad istruire il caso in esame giusta l'art. 40 cpv. 2 OAI) sia condivisibile.</w:t>
      </w:r>
    </w:p>
    <w:p>
      <w:r>
        <w:rPr>
          <w:b/>
        </w:rPr>
        <w:t>E. 4.2</w:t>
      </w:r>
    </w:p>
    <w:p>
      <w:r>
        <w:t>Nel caso in esame, questo Tribunale condivide la proposta dell'UAIE e dell'Ufficio AI del Cantone C._______ rispettivamente del medico SMR d'annullamento della decisione impugnata con rinvio degli atti di causa all'amministrazione affinché la stessa completi l'istruttoria con una perizia pluridisciplinare.</w:t>
      </w:r>
    </w:p>
    <w:p>
      <w:r>
        <w:rPr>
          <w:b/>
        </w:rPr>
        <w:t>E. 4.3</w:t>
      </w:r>
    </w:p>
    <w:p>
      <w:r>
        <w:t>L'autorità inferiore non ha infatti tenuto conto che a partire dall'estate 2017 l'assicurata ha iniziato ad accusare ulteriori disturbi, oltre a quelli legati agli esiti della frattura coccigea e all'intervento di resezione del coccige dovuti alla caduta del 24 gennaio 2015 (cfr. consid. B). Di questi ulteriori disturbi (dolori in zona lombare, glutei e del femore destro) - non considerati in nesso di causalità con la citata caduta (doc. B 122) - il dott. E._______, incaricato dalla SUVA, non ha tenuto conto nell'ambito dell'assicurazione infortuni. Nondimeno l'UAIE ha - a torto - ritenuto, senza effettuare, i necessari approfondimenti, che l'inabilità lavorativa fosse originata esclusivamente dagli esiti infortunistici (cfr. in particolare doc. A 82 e 98). Basti qui rilevare che pur avendo, nell'annotazione SMR del 13 agosto 2018, indicato di ritenere la discopatia lombare e la coxalgia sinistra diagnosi con ripercussioni sulla capacità lavorativa, il dott. F._______ ha omesso di approfondire la natura e le conseguenze delle citate patologie (doc. A 94). Eppure, la necessità di analisi aggiuntive era peraltro già stata segnalata dal dott. G._______, il quale, con accertamento medicolegale del 28 maggio 2018, ha indicato che "la persistente lombosciatalgia richiede ancora ulteriori esami e trattamenti di cura, in presenza anche di sofferenza delle articolazioni sacroiliache e della regione dell'anca destra, e soprattutto in presenza di una ernia discale L5-S1 in evoluzione" (doc. A 92). Inoltre, anche il dott. H._______ con valutazione del 17 aprile 2018 aveva attestato l'insorgenza delle problematiche in questione (doc. A 75). In fase ricorsuale, la ricorrente ha poi trasmesso la perizia ortopedica del 5 luglio 2017 del dott. I._______, specialista in chirurgia ortopedica e traumatologia, in cui veniva già attestata, alla luce degli esiti algo disfunzionali constatati, un'incapacità lavorativa superiore al 20% (tra 20% e 30%; cfr. allegato a doc. TAF 1). Infine, con certificato del 6 dicembre 2018, il dott. H._______ ha pure indicato che nel mese di luglio 2018, ossia anteriormente alla decisione impugnata, a causa del precario equilibrio per il dolore alla gamba destra, la paziente è caduta riportando una frattura composta della tibia, concludendo che a seguito delle affezioni di cui è afflitta, la sua capacità lavorativa doveva considerarsi ridotta in modo importante anche per le attività leggere che potevano essere eseguite unicamente a tempo parziale (allegato a doc. TAF 1). Per conseguenza, si imponeva, e si impone, a non averne dubbio, una più approfondita e precisa verifica dello stato di salute della ricorrente - segnatamente con perizia interdisciplinare in ambito ortopedico, reumatologico e neurologico - e dell'incidenza delle diverse patologie, ed in particolare del loro eventuale effetto congiunto, sulla sua residua capacità lavorativa.</w:t>
      </w:r>
    </w:p>
    <w:p>
      <w:r>
        <w:rPr>
          <w:b/>
        </w:rPr>
        <w:t>E. 4.4</w:t>
      </w:r>
    </w:p>
    <w:p>
      <w:r>
        <w:t>Per quel che concerne le censure sollevate dalla ricorrente in merito al raffronto dei redditi ed in particolare alla determinazione del reddito da valido e da invalido, questo Tribunale rileva che, nella risposta al ricorso, l'UAIE stesso ha indicato di dovere poi procedere ad ulteriori accertamenti anche in ambito reintegrativo/economico. Anche sotto questo profilo, gli atti vanno pertanto rinviati all'autorità inferiore per il completamento dell'inchiesta.</w:t>
      </w:r>
    </w:p>
    <w:p>
      <w:r>
        <w:rPr>
          <w:b/>
        </w:rPr>
        <w:t>E. 5.1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5.2</w:t>
      </w:r>
    </w:p>
    <w:p>
      <w:r>
        <w:t>L'incarto va pertanto trasmesso all'autorità inferiore affinché completi l'accertamento dei fatti giuridicamente rilevanti. La ricorrente verrà in particolare sottoposta ai necessari accertamenti interdisciplinari in ambito ortopedico, reumatologico e neurologico, riservato ogni ulteriore esame che l'evoluzione nel tempo dello stato di salute dell'insorgente dovesse ancora rendere necessario. Incomberà peraltro all'UAIE di emettere una nuova decisione in tempi ragionevoli. Sulla base degli accertamenti ancora da esperire dovrà in particolare essere possibile di determinarsi, con il grado della verosimiglianza determinante, sull'evoluzione dello stato di salute della ricorrente a partire da agosto/settembre 2017 e sulla sua incidenza sulla capacità lavorativa, fermo restando che è necessario che i menzionati periti si esprimano congiuntamente al riguardo.</w:t>
      </w:r>
    </w:p>
    <w:p>
      <w:r>
        <w:rPr>
          <w:b/>
        </w:rPr>
        <w:t>E. 5.3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la ricorrente, sulla residua capacità lavorativa in attività sostitutive adeguate. In particolare, un rinvio all'autorità inferiore si giustifica, dal profilo delle garanzie procedurali (segnatamente quello della doppia istanza con piena cognizione) nei casi in cui, come nella fattispecie, è richiesto l'esperimento di una perizia interdisciplinare mai effettuata e chiaramente necessaria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il considerando 4.3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5.4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alla ricorrente dal 1° giugno 2016 al 30 novembre 2016 e riconducibile alle conseguenze dell'incidente del 24 gennaio 2015, ha da ritenersi siccome già acquisita, la stessa non essendo stata contestata e non risultando elementi che possano mettere in dubbio le ripercussioni sulla capacità lavorativa, fermo restando la necessità di un complemento peritale multidisciplinare. A seguito della presente sentenza, resta aperta solo la questione di sapere se gli ulteriori accertamenti sullo stato di salute della ricorrente ancora da esperire giustificano, contrariamente a quanto ritenuto nella decisione impugnata, l'attribuzione di una rendita anche dopo il 30 novembre 2016 (cfr. al riguardo, sentenze del TAF C-5080/2017 del 16 novembre 2018 consid. 11.5, C-1316/2014 del 13 marzo 2018 consid. 12.3 e C-2736/2014 dell'8 dicembre 2017 consid. 14.3).</w:t>
      </w:r>
    </w:p>
    <w:p>
      <w:r>
        <w:rPr>
          <w:b/>
        </w:rPr>
        <w:t>E. 6.1</w:t>
      </w:r>
    </w:p>
    <w:p>
      <w:r>
        <w:t>Visto l'esito del ricorso, non sono prelevate delle spese processuali (art. 63 PA). L'anticipo equivalente alle presumibili spese processuali di CHF 800.-, versato il 17 gennaio 2019, sarà restituito alla ricorrente allorquando la presente sentenza sarà cresciuta in giudicato.</w:t>
      </w:r>
    </w:p>
    <w:p>
      <w:r>
        <w:rPr>
          <w:b/>
        </w:rPr>
        <w:t>E. 6.2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6.3</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CHF 200.- ed un massimo di CHF 400.-.</w:t>
      </w:r>
    </w:p>
    <w:p>
      <w:r>
        <w:rPr>
          <w:b/>
        </w:rPr>
        <w:t>E. 6.4</w:t>
      </w:r>
    </w:p>
    <w:p>
      <w:r>
        <w:t>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di regola essere ritenute, ad eccezione di quelle che sono necessarie alla preparazione della procedura di ricorso (DTF 112 Ib 353 consid. 3a in fine e DTF 109 V 49 consid. 4a).</w:t>
      </w:r>
    </w:p>
    <w:p>
      <w:r>
        <w:rPr>
          <w:b/>
        </w:rPr>
        <w:t>E. 6.5</w:t>
      </w:r>
    </w:p>
    <w:p>
      <w:r>
        <w:t>Nel caso concreto, con scritto del 14 agosto 2019 la ricorrente ha chiesto il riconoscimento di CHF 3'188.88 a titolo di spese ripetibili. Secondo l'allegata distinta particolareggiata, CHF 2'735.- corrispondono all'onorario dell'avvocato (9 ore e 7 minuti a CHF 300.-/h), CHF 160.90 sono spese vive quali spese vive e CHF 222.98 l'imposta sul valore aggiunto [allegato al doc. TAF 13]).</w:t>
      </w:r>
    </w:p>
    <w:p>
      <w:r>
        <w:rPr>
          <w:b/>
        </w:rPr>
        <w:t>E. 6.6</w:t>
      </w:r>
    </w:p>
    <w:p>
      <w:r>
        <w:t>Per quanto attiene alla richiesta tariffa oraria per l'attività svolta dall'avvocato, va osservato che di regola è stata fissata da questo Tribunale una retribuzione oraria di CHF 250.- per l'attività svolta da un avvocato nell'ambito di procedure ricorsuali in materia d'assicurazione per l'invalidità (cfr., fra le tante, le sentenze del TAF C-5702/2018 del 4 giugno 2019 consid. 8.3.2 in fine; C-3771/2018 del 28 novembre 2018 cosid. 10.2.5; C-3280/2014 del 15 maggio 2017 consid. 6.2.2; C-1990/2014 consid. 10.2.4 e C-6248/2011 del 25 luglio 2012 consid. 12.2.5). Non vi è motivo nel caso in esame di scostarsi dalla menzionata abituale tariffa oraria di CHF 250.-, la parte ricorrente non avendo fornito alcuna particolare giustificazione per una tariffa oraria (relativamente elevata) di CHF 300.- e non risultando neppure un motivo per un intervento d'ufficio da parte di questo Tribunale.</w:t>
      </w:r>
    </w:p>
    <w:p>
      <w:r>
        <w:rPr>
          <w:b/>
        </w:rPr>
        <w:t>E. 6.7</w:t>
      </w:r>
    </w:p>
    <w:p>
      <w:r>
        <w:t>Ciò premesso, e considerato che per la fase pre-processuale può essere ritenuto solo il tempo impiegato per quegli atti necessari alla preparazione della procedura di ricorso (cfr. considerando 6.4 del presente giudizio), consegue che non possono in questa sede essere riconosciute le prestazioni professionali precedenti al 21 novembre 2018, ossia CHF 820.- di onorario (164 min x CHF 300/h) e CHF 37.30 di spese che non appaiono affatto necessarie alla preparazione del ricorso (né sono stati presentati dalla parte ricorrente argomenti che giustificherebbero, eccezionalmente, una presa in considerazione delle menzionate prestazioni, come avrebbe potuto e dovuto fare dando prova della necessaria diligenza).</w:t>
      </w:r>
    </w:p>
    <w:p>
      <w:r>
        <w:rPr>
          <w:b/>
        </w:rPr>
        <w:t>E. 6.8</w:t>
      </w:r>
    </w:p>
    <w:p>
      <w:r>
        <w:t>Per quanto concerne la fase ricorsuale, della nota d'onorario presentata possono senz'altro essere ammesse le posizioni che si riferiscono all'incontro e alle consulenze telefoniche con il cliente, così come il tempo occorso per l'allestimento di lettere al cliente o nel suo interesse, per lo studio della causa e l'allestimento del ricorso. Si giustifica dunque il dispendio di tempo di 383 minuti, a CHF 250.- l'ora, per un ammontare totale di CHF 1'595.85. Sono altresì rimborsabili integralmente i disborsi indicati nella nota d'onorario per le copie originali, le spese postali e telefoniche, per un totale di CHF 88.60. Tuttavia, giusta l'art. 11 cpv. 4 TS-TAF per le fotocopie possono essere fatturati al massimo 50 centesimi a pagina, motivo per cui per le copie non originali possono essere riconosciuti unicamente CHF 17.50 invece di CHF 35.-.</w:t>
      </w:r>
    </w:p>
    <w:p>
      <w:r>
        <w:rPr>
          <w:b/>
        </w:rPr>
        <w:t>E. 6.9</w:t>
      </w:r>
    </w:p>
    <w:p>
      <w:r>
        <w:t>Infine, considerato che per prestazioni di avvocati fornite a persone domiciliate all'estero non è notoriamente dovuta l'IVA (v. art. 1 cpv. 2 in correlazione con gli art. 8 cpv. 1 e 18 cpv. 1 della legge federale del 12 giugno 2009 concernente l'imposta sul valore aggiunto [LIVA, RS 641.20]), la stessa non può essere indennizzata (v., sulla questione, e fra le tante, le sentenze del TF C-1109/2017 del 15 maggio 2017 consid. 8.2 e C-6248/2011 consid. 12.2.5 [l'IVA è per contro eccezionalmente dovuta in caso di ammissione del gratuito patrocinio conformemente alla sentenza del TF 6B_498/2014 del 9 settembre 2015; cfr. sentenza del TAF C-1990/2014 consid. 10.2.6]).</w:t>
      </w:r>
    </w:p>
    <w:p>
      <w:r>
        <w:rPr>
          <w:b/>
        </w:rPr>
        <w:t>E. 6.10</w:t>
      </w:r>
    </w:p>
    <w:p>
      <w:r>
        <w:t>In conclusione, la nota d'onorario "moderata" in questa sede è fissata in CHF 1'701.95 (CHF 1595.85 addizionati ai disborsi di CHF 106.10), tenuto conto del lavoro utile e necessario svolto dal rappresentante della ricorrente in causa relativamente semplice in fatto ed in diritto, con incarto di causa poco voluminoso e un solo scambio di scritti (dopo la proposta dell'UAIE d'ammissione del ricorso e di rinvio degli atti all'amministrazione per completamento dell'istruttoria, come da richiesta ricorsuale dell'insorgente medesimo).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