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C-4999/2009 vom 20. März 2012</w:t>
      </w:r>
    </w:p>
    <w:p>
      <w:r>
        <w:t>Bundesverwaltungsgericht, 2012-03-20, DE</w:t>
      </w:r>
    </w:p>
    <w:p>
      <w:r>
        <w:rPr>
          <w:b/>
        </w:rPr>
        <w:t xml:space="preserve">Quelle: </w:t>
      </w:r>
      <w:r>
        <w:t>https://mcp.opencaselaw.ch/entscheid/bvger_C-4999_2009</w:t>
      </w:r>
    </w:p>
    <w:p>
      <w:r>
        <w:t>FR: TAF C-4999/2009 du 20 mars 2012</w:t>
      </w:r>
    </w:p>
    <w:p>
      <w:r>
        <w:t>IT: TAF C-4999/2009 del 20 marzo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seine im Übrigen frist- und formge­recht eingereichten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Hinweisen).</w:t>
      </w:r>
    </w:p>
    <w:p>
      <w:r>
        <w:rPr>
          <w:b/>
        </w:rPr>
        <w:t>E. 3.1</w:t>
      </w:r>
    </w:p>
    <w:p>
      <w:r>
        <w:t>Am 1. Januar 2008 trat das zweite Paket der Asylgesetzrevision vom 16. Dezember 2005 in Kraft, mit dem durch entsprechende Änderungen des Asylgesetzes vom 26. Juni 1998 (AsylG, SR 142.31), des auf denselben Zeitpunkt in Kraft gesetzten Bundesgesetzes vom 16. Dezember 2005 über die Ausländerinnen und Ausländer (AuG, SR 142.20) und der Asylverordnung 2 vom 11. August 1999 über Finanzierungsfragen (Asylverordnung 2, AsylV 2) ein Systemwechsel von der individuellen Sicherheitsleistungs- und Rückerstattungspflicht (nachfolgend: SiRück) mit der ihr eigenen Abrechnung über dem Pflichtigen individuell zurechenbare Kosten zur voraussetzungslos geschuldeten Sonderabgabe vollzogen wurde (vgl. zum Ganzen: Urteil des Bundesverwaltungsgerichts C 7179/2008 vom 21. Dezember 2010 E. 4.2 bis E. 4.4). Die vorliegende Streitsache betrifft die Überführung eines unter der Herrschaft des alten Rechts begründeten SiRück-Verhältnisses in das neue Recht.</w:t>
      </w:r>
    </w:p>
    <w:p>
      <w:r>
        <w:rPr>
          <w:b/>
        </w:rPr>
        <w:t>E. 3.2</w:t>
      </w:r>
    </w:p>
    <w:p>
      <w:r>
        <w:t>Mit der angefochtenen Verfügung rechnete die Vorinstanz über das altrechtliche Sicherheitskonto des Beschwerdeführers ab. Zur Anwendung gelangten die Übergangsbestimmungen zur Änderung vom 16. Dezember 2005 des Asylgesetzes (nachfolgend: Übergangsbestimmungen AsylG) und zur am 24. Oktober 2007 beschlossenen Änderung der Asylverordnung 2 (nachfolgend: Übergangsbestimmungen AsylV 2). Die darin niedergelegte übergangsrechtliche Ordnung (vgl. dazu eingehend Urteil des Bundesverwaltungsgerichts C 7179/2008 vom 21. Dezember 2010 E. 4.5 und E. 4.6) sieht die Unterstellung bestehender SiRück-Verhältnisse unter das neue Recht vor, wenn vor seinem Inkrafttreten kein Schlussabrechnungsgrund im Sinne von Artikel 87 des Asylgesetzes in der Fassung vom 26. Juni 1998 (AS 1999 2262; nachfolgend: AsylG [1998]) eingetreten ist (Abs. 1 und 2 Übergangsbestimmungen AsylG). Dabei gilt unter anderem, dass Sicherheitsleistungen nach Art. 86 AsylG (1998) sowie Rückerstattungen aus der Zwischenabrechnung nach Artikel 16 AsylV 2 in der Fassung vom 11. August 1999 (nachfolgend: AsylV 2 [1999]) in vollem Umfang an die neurechtliche Sonderabgabepflicht angerechnet werden. Soweit diese Sicherheiten und Rückerstattungen den Maximalbetrag der Sonderabgabe von Fr. 15'000.00 übersteigen, sind sie an den Kontoinhaber zurückzuzahlen oder an die Sonderabgabepflicht seines Ehegatten anzurechnen (Abs. 7 und 8 Übergangsbestimmungen AsylV 2).</w:t>
      </w:r>
    </w:p>
    <w:p>
      <w:r>
        <w:rPr>
          <w:b/>
        </w:rPr>
        <w:t>E. 3.3</w:t>
      </w:r>
    </w:p>
    <w:p>
      <w:r>
        <w:t>Der Beschwerdeführer macht geltend, die Vorinstanz habe mit ihrer Vorgehensweise die Übergangsbestimmungen rechtsfehlerhaft angewendet. Tatsächlich sei bei ihm vor dem Inkrafttreten des neuen Rechts ein Schlussabrechnungsgrund nach Artikel 87 AsylG (1998) entstanden. Die Abrechnung und Saldierung des Sicherheitskontos hätten daher gemäss Abs. 2 der Übergangsbestimmungen AsylG in Anwendung des alten Rechts erfolgen müssen. Der Beschwerdeführer beruft sich in diesem Zusammenhang auf Art. 87 Abs. 1 Bst. d AsylG (1998), der nach seinem Verständnis die Auszahlung der Sicherheitsleistungen abzüglich verrechenbarer Kosten vorsehe, wenn sich die sicherheitsleistungspflichtige Person mindestens zehn Jahre in der Schweiz aufgehalten habe. Die Auslegung des Beschwerdeführers entspricht jedoch offensichtlich nicht dem Normsinn. Nach seinem klaren Wortlaut, der von der Gesetzessystematik gestützt wird und gegen den keine teleologischen Argumente vorgebracht werden können, regelt Art. 87 Abs. 1 Bst. d AsylG ausschliesslich die Rechtsstellung von Personen, denen gestützt auf Art. 4 AsylG vorübergehender Schutz gewährt wurde. Über diesen Rechtsstatuts verfügte der Beschwerdeführer jedoch nie.</w:t>
      </w:r>
    </w:p>
    <w:p>
      <w:r>
        <w:rPr>
          <w:b/>
        </w:rPr>
        <w:t>E. 4</w:t>
      </w:r>
    </w:p>
    <w:p>
      <w:r>
        <w:t>Andere Umstände, welche die Rechtmässigkeit der Abrechnung über das Sicherheitskonto des Beschwerdeführers in Frage stellen könnten, werden nicht geltend gemacht und sind auch nicht ersichtlich (vgl. grundlegend Urteil des Bundesverwaltungsgerichts C-7179/2008 vom 21. De­zember 2010 E. 6). Die angefochtene Verfügung ist daher im Lichte von Art. 49 VwVG nicht zu beanstanden und die Beschwerde abzuweisen.</w:t>
      </w:r>
    </w:p>
    <w:p>
      <w:r>
        <w:rPr>
          <w:b/>
        </w:rPr>
        <w:t>E. 5</w:t>
      </w:r>
    </w:p>
    <w:p>
      <w:r>
        <w:t>Angesichts der offensichtlichen Aussichtslosigkeit der vorliegenden Beschwerde kann dem Gesuch des Beschwerdeführers um Gewährung der unentgeltlichen Rechtspflege nicht entsprochen werden (Art. 65 Abs. 1 VwVG). In Anwendung von Art. 6 Bst. b des Reglements vom 21. Februar 2008 über die Kosten und Entschädigungen vor dem Bundesverwaltungsgericht (VGKE, SR 173.320.2) rechtfertigt es sich jedoch, von der Auferlegung der Verfahrenskosten abzusehen, die bei diesem Ausgang des Verfahrens grundsätzlich zu Lasten des Beschwerdeführers gingen (Art. 63 Abs. 1 VwVG i.V.m. Art. 6 Bst. b VGKE).</w:t>
      </w:r>
    </w:p>
    <w:p>
      <w:r>
        <w:rPr>
          <w:b/>
        </w:rPr>
        <w:t>E. 6</w:t>
      </w:r>
    </w:p>
    <w:p>
      <w:r>
        <w:t>Das vorliegende Urteil ist endgültig (Art. 83 Bst. c Ziff. 3 und Bst. d Ziff. 1 des Bundesgerichtsgesetzes vom 17. Juni 2005 [BGG, SR 173.110]).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