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C-4993/2009 vom 13. November 2009</w:t>
      </w:r>
    </w:p>
    <w:p>
      <w:r>
        <w:t>Bundesverwaltungsgericht, 2009-11-13, DE</w:t>
      </w:r>
    </w:p>
    <w:p>
      <w:r>
        <w:rPr>
          <w:b/>
        </w:rPr>
        <w:t xml:space="preserve">Quelle: </w:t>
      </w:r>
      <w:r>
        <w:t>https://mcp.opencaselaw.ch/entscheid/bvger_C-4993_2009</w:t>
      </w:r>
    </w:p>
    <w:p>
      <w:r>
        <w:t>FR: TAF C-4993/2009 du 13 novembre 2009</w:t>
      </w:r>
    </w:p>
    <w:p>
      <w:r>
        <w:t>IT: TAF C-4993/2009 del 13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Besuchervisums verweigert wird. Darüber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legitimiert.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der Gesuchsteller der Visumspflicht.</w:t>
      </w:r>
    </w:p>
    <w:p>
      <w:r>
        <w:rPr>
          <w:b/>
        </w:rPr>
        <w:t>E. 6.1</w:t>
      </w:r>
    </w:p>
    <w:p>
      <w:r>
        <w:t>Zur Prüfung des Kriteriums der gesicherten Wiederausreise muss ein zukünftiges Verhalten beurteilt werden. Dazu lassen sich in der Regel keine gesicherten Feststellungen, sondern lediglich Voraussagen treffen. Dabei sind sämtliche Umstände des konkreten Einzelfalles zu würdigen.</w:t>
      </w:r>
    </w:p>
    <w:p>
      <w:r>
        <w:rPr>
          <w:b/>
        </w:rPr>
        <w:t>E. 6.2</w:t>
      </w:r>
    </w:p>
    <w:p>
      <w:r>
        <w:t>Anhaltspunkte zur Beurteilung der fristgerechten Wiederausreise können sich aus der allgemeinen Lage im Herkunftsland der Besucherin oder des Besuchers ergeben.</w:t>
      </w:r>
    </w:p>
    <w:p>
      <w:r>
        <w:rPr>
          <w:b/>
        </w:rPr>
        <w:t>E. 6.3</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Der Armutsanteil der Bevölkerung im Kosovo lag im Jahr 2008 bei 45%; 15% der Staatsbürger leben sogar in extremer Armut (vgl. &lt;http://www.worldbank.org&gt;, Countries &gt; Europe and Central Asia &gt; Kosovo &gt; Overview &gt; Country Brief - April 2009, besucht im November 2009). Der Zuwanderungsdruck aus dieser Region ist dementsprechend hoch, was sich auch in der schweizerischen Asylstatistik widerspiegelt. So stammten im Jahr 2008 7.8% der Asylsuchenden aus dem Gebiet von Serbien und dem Kosovo. Diese Region stand damit in der Statistik der Asylgesuche nach Nationen an vierter Stelle (vgl. kommentierte BFM-Asylstatistik 2008, S. 9). Seit dem 1. April 2009 gelten Serbien und Kosovo zwar als verfolgungssichere Staaten (Safe Countries), dies gemäss Beschluss des Bundesrates vom 6. März 2009. Es wird sich aber zeigen müssen, ob und falls ja, welchen Einfluss dies auf künftige Asylbewerberzahlen haben wird. Immerhin stellten im 2. Quartal 2009 noch 142 Personen aus dem Kosovo hier ein Asylgesuch. Im 3. Quartal stieg die Zahl auf 179 Gesuche (+ 37 = + 26.1 %). Kosovo liegt damit in der Quartalsstatistik der Asylgesuche nach Nationen an siebter Stelle (vgl. kommentierte Asylstatistik des BFM 3. Quartal 2009, S. 7).</w:t>
      </w:r>
    </w:p>
    <w:p>
      <w:r>
        <w:rPr>
          <w:b/>
        </w:rPr>
        <w:t>E. 6.4</w:t>
      </w:r>
    </w:p>
    <w:p>
      <w:r>
        <w:t>In Anbetracht der vorerwähnten Verhältnisse im Kosovo und unter Berücksichtigung der Tatsache, dass die Bereitschaft zur Emigration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vorerwähnten Verhältnisse entbinden die Vorinstanz nicht von einer einzelfallbezogenen Beurteilung. Namentlich können berufliche, gesellschaftliche oder familiäre Verpflichtungen die Prognose einer anstandslosen Wiederausreise begünstigen.</w:t>
      </w:r>
    </w:p>
    <w:p>
      <w:r>
        <w:rPr>
          <w:b/>
        </w:rPr>
        <w:t>E. 7.1</w:t>
      </w:r>
    </w:p>
    <w:p>
      <w:r>
        <w:t>In wirtschaftlicher Hinsicht macht der Beschwerdeführer geltend, der Gesuchsteller sei als selbständigerwerbender Landwirt tätig (vgl. Schreiben vom 28. April 2009 Punkt 5). Auf Rechtsmittelebene wird zudem ergänzt, der Gesuchsteller führe im Kosovo zusammen mit seinen Geschwistern einen Landwirtschaftsbetrieb. Diese würden während der Abwesenheit des Gesuchstellers dessen Aufgabenbereich übernehmen. Allerdings sei dies aufgrund der dadurch entstehenden Mehrbelastung für die Geschwister nur für eine beschränkte Zeit möglich (Beschwerde Art. 3). Aus diesem landwirtschaftlichen Betrieb stünden dem Gesuchsteller monatlich ca. EUR 2'500 für vier Personen zur Verfügung, damit könne nicht gesagt werden, er lebe in wirtschaftlich schlechten Verhältnissen (Replik Art. 3). Entsprechende Beweismittel, welche die effektiven wirtschaftlichen Verhältnisse der Familie belegen könnten, hat der Beschwerdeführer jedoch nicht eingereicht. Auch bestehen keine näheren Angaben über Art und Grösse des landwirtschaftlichen Betriebes. Vorbehalte sind deshalb durchaus angebracht, zumal sich aus den Akten verschiedene Ungereimtheiten ergeben, welche am dargestellten Berufsumfeld sowie der daraus folgenden wirtschaftlichen Situation des Gesuchstellers zweifeln lassen. So gab der Gesuchsteller selbst in seinem Visumantrag vom 19. März 2009 keine aktuelle berufliche Tätigkeit an, sondern liess das entsprechende Feld "Derzeitige berufliche Tätigkeit" leer. Zudem ist auf einer UNMIK-Bestätigung vom 5. Januar 2009 der Beruf der Geschwister mit "Arbeiter/Arbeiterin" resp. "Schüler" angegeben, was - einmal abgesehen von deren Alter - nicht gerade eben auf eine Tätigkeit als selbständige Landwirte schliessen lässt. Auch der Umstand, dass die Aufenthaltskosten in der Schweiz nicht (zumindest teilweise) vom Gesuchsteller selbst getragen werden, sondern er bei einem Besuch finanziell vollständig vom Beschwerdeführer abhängig sein würde (vgl. Beschwerde Art. 2), spricht gegen das Bild eines gut situierten Gastes. Fraglich bleibt auch, wieso der Gesuchsteller - trotz angeblicher Stellvertretung durch seine Geschwister - in seiner Funktion als selbständiger Landwirt die maximale Aufenthaltsdauer von drei Monaten für seinen Besuch in der Schweiz ausschöpfen würde. Insbesondere sind keinerlei Gründe ersichtlich, die einen solch langen Aufenthalt in der Schweiz als nötig erscheinen lassen. Vor diesem Hintergrund können in den wirtschaftlichen Verhältnissen keine Umstände ausgemacht werden, welche den Gesuchsteller nachhaltig von einer Emigration abhalten können.</w:t>
      </w:r>
    </w:p>
    <w:p>
      <w:r>
        <w:rPr>
          <w:b/>
        </w:rPr>
        <w:t>E. 7.2</w:t>
      </w:r>
    </w:p>
    <w:p>
      <w:r>
        <w:t>Über die familiären Verhältnisse des 24-jährigen, ledigen und kinderlosen Gesuchstellers ist bekannt, dass auch seine Mutter und drei Geschwister im Kosovo leben (vgl. UNMIK-Bestätigung vom 5. Januar 2009). Zudem habe er auch eine Lebenspartnerin dort (Replik Art. 3). Der Beschwerdeführer selbst führt aus, der Gesuchsteller habe keine familiären Verpflichtungen (vgl. Schreiben vom 28. April 2009 Punkt 5). Solche sind im Übrigen auch nicht aus den Akten ersichtlich: Die Tatsache allein, dass er Familienangehörige sowie eine Lebenspartnerin im Kosovo hat, ist kein Grund zur Annahme, der Gesuchsteller könne dadurch vom Entschluss zur Emigration abgehalten werden. Im Gegenteil, der Entscheid kann insbesondere in Situationen angespannter wirtschaftlicher Verhältnisse - wie sie in casu nach obgenannten Ausführungen zu vermuten sind (vgl. E. 7.1) - von der Hoffnung getragen sein, die Angehörigen aus dem Ausland finanziell zu unterstützen bzw. später nachfolgen zu lassen.</w:t>
      </w:r>
    </w:p>
    <w:p>
      <w:r>
        <w:rPr>
          <w:b/>
        </w:rPr>
        <w:t>E. 7.3</w:t>
      </w:r>
    </w:p>
    <w:p>
      <w:r>
        <w:t>Die Vorinstanz durfte vor dem aufgezeigten allgemeinen und persönlichen Hintergrund demnach davon ausgehen, dass keine hinreichende Gewähr für eine fristgerechte und anstandslose Wiederausreise des Gesuchstellers nach einem Besuchsaufenthalt besteht. An dieser Risikoeinschätzung vermögen auch die auf Rechtsmittelebene getätigten Hinweise des Beschwerdeführers zu seiner Person nichts zu ändern. Die Integrität des Beschwerdeführers in seiner Eigenschaft als Gastgeber wird nicht in Zweifel gezogen, weshalb weder die Hinweise auf seinen guten Leumund und die gefestigte berufliche und soziale Stellung noch seine am 28. April 2009 unterzeichnete Garantieerklärung entscheidend sind. In diesem Sinne kann auch dem vom Beschwerdeführer zu den Akten gelegten Schreiben der Einwohnergemeinde Niederbipp vom 15. Juli 2009 keine ausschlaggebende Bedeutung beigemessen werden. Bei der Abwägung des Risikos einer nicht fristgerechten Wiederausreise sind nämlich nicht so sehr die Einstellung und Absichten des Gastgebers, sondern ist in erster Linie das mögliche Verhalten des Gastes selbst von Bedeutung. Nur Letzterer ist in der Lage, hinreichend Gewähr für eine fristgerechte und anstandslose Wiederausreise zu bieten. Der Gastgeber kann - wie dies in casu geschehen ist - zwar für gewisse finanzielle Risiken (Lebensunterhaltskosten während des Besuchsaufenthaltes, allfällige Kosten für Unfall und Krankheit sowie Rückreisekosten) Garantie leisten. Für ein bestimmtes Verhalten des Gastes kann er aber - mangels rechtlicher und faktischer Durchsetzbarkeit - nicht garantieren (anstelle vieler vgl. Urteile des Bundesverwaltungsgerichts C-7005/2007 vom 25. Juni 2009 E. 9 und C-2405/2008 vom 18. März 2009 E. 10).</w:t>
      </w:r>
    </w:p>
    <w:p>
      <w:r>
        <w:rPr>
          <w:b/>
        </w:rPr>
        <w:t>E. 8</w:t>
      </w:r>
    </w:p>
    <w:p>
      <w:r>
        <w:t>Aus diesen Darlegungen folgt, dass die angefochtene Verfügung rechtmässig ist (Art. 49 VwVG). Die Beschwerde ist daher abzuweisen.</w:t>
      </w:r>
    </w:p>
    <w:p>
      <w:r>
        <w:rPr>
          <w:b/>
        </w:rPr>
        <w:t>E. 9</w:t>
      </w:r>
    </w:p>
    <w:p>
      <w:r>
        <w:t>Dem Ausgang des Verfahrens entsprechend wird der unterliegende Beschwerdeführer kostenpflichtig (Art. 63 Abs. 1 VwVG). Die Verfahrenskosten sind auf Fr. 600.- festzusetzen (Art. 1, 2 und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