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C-498/2006 vom 26. November 2007</w:t>
      </w:r>
    </w:p>
    <w:p>
      <w:r>
        <w:t>Bundesverwaltungsgericht, 2007-11-26, DE</w:t>
      </w:r>
    </w:p>
    <w:p>
      <w:r>
        <w:rPr>
          <w:b/>
        </w:rPr>
        <w:t xml:space="preserve">Quelle: </w:t>
      </w:r>
      <w:r>
        <w:t>https://mcp.opencaselaw.ch/entscheid/bvger_C-498_2006</w:t>
      </w:r>
    </w:p>
    <w:p>
      <w:r>
        <w:t>FR: TAF C-498/2006 du 26 novembre 2007</w:t>
      </w:r>
    </w:p>
    <w:p>
      <w:r>
        <w:t>IT: TAF C-498/2006 del 26 novembre 2007</w:t>
      </w:r>
    </w:p>
    <w:p>
      <w:pPr>
        <w:pStyle w:val="Heading2"/>
      </w:pPr>
      <w:r>
        <w:t>Regeste</w:t>
      </w:r>
    </w:p>
    <w:p>
      <w:r>
        <w:t>Zustimmung zur Aufenthaltsbewilligung</w:t>
      </w:r>
    </w:p>
    <w:p>
      <w:pPr>
        <w:pStyle w:val="Heading2"/>
      </w:pPr>
      <w:r>
        <w:t>Erwägungen</w:t>
      </w:r>
    </w:p>
    <w:p>
      <w:r>
        <w:rPr>
          <w:b/>
        </w:rPr>
        <w:t>E. 1.1</w:t>
      </w:r>
    </w:p>
    <w:p>
      <w:r>
        <w:t>Verfügungen des BFM betreffend Zustimmung zur Verlängerung einer Aufenthaltsbewilligung und Wegweisung aus der Schweiz unterliegen der Beschwerde an das Bundesverwaltungsgericht (Art. 20 Abs. 1 des Bundesgesetzes vom 26. März 1931 über Aufenthalt und Niederlassung der Ausländer [ANAG, SR 142.20] i.V.m. Art. 31 ff. des Verwaltungsgerichtsgesetzes vom 17. Juni 2005 [VGG, SR 173.32]).</w:t>
      </w:r>
    </w:p>
    <w:p>
      <w:r>
        <w:rPr>
          <w:b/>
        </w:rPr>
        <w:t>E. 1.2</w:t>
      </w:r>
    </w:p>
    <w:p>
      <w:r>
        <w:t>Zum Zeitpunkt des Inkrafttretens des Verwaltungsgerichtsgesetzes beim EJPD bereits hängige Rechtsmittelverfahren vorliegenden Inhalts werden vom Bundesverwaltungsgericht übernommen. Die Beurteilung erfolgt nach neuem Verfahrensrecht (vgl. Art. 53 Abs. 2 VGG). Gemäss Art. 37 VGG richtet sich das Verfahren vor dem Bundesverwaltungsgericht nach dem Bundesgesetz vom 20. Dezember 1968 über das Verwaltungsverfahren (VwVG, SR 172.021), soweit das Verwaltungsgerichtsgesetz nichts anderes bestimmt.</w:t>
      </w:r>
    </w:p>
    <w:p>
      <w:r>
        <w:rPr>
          <w:b/>
        </w:rPr>
        <w:t>E. 1.3</w:t>
      </w:r>
    </w:p>
    <w:p>
      <w:r>
        <w:t>Der Beschwerdeführer ist als formeller und materieller Adressat der angefochtenen Verfügung zur Ergreifung des Rechtsmittels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keine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3.1</w:t>
      </w:r>
    </w:p>
    <w:p>
      <w:r>
        <w:t>Die Erteilung und Verlängerung von Aufenthaltsbewilligungen fällt grundsätzlich in die Zuständigkeit der Kantone. Vorbehalten bleibt die Zustimmung der Vorinstanz, wenn das Ausländerrecht eine solche für notwendig erklärt (Art. 18 ANAG). Gemäss Art. 1 Abs. 1 der Verordnung vom 20. April 1983 über das Zustimmungsverfahren im Ausländerrecht (Zustimmungsverordnung, SR 142.202)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die Vorinstanz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publ. in: Verwaltungspraxis der Bundesbehörden [VPB] 69.76).</w:t>
      </w:r>
    </w:p>
    <w:p>
      <w:r>
        <w:rPr>
          <w:b/>
        </w:rPr>
        <w:t>E. 3.2</w:t>
      </w:r>
    </w:p>
    <w:p>
      <w:r>
        <w:t>Im vorliegenden Fall geht es um die Verlängerung der Aufenthaltsbewilligung eines kenianischen Staatsangehörigen, nachdem dessen Ehe mit einer Schweizer Bürgerin als ursprünglicher Zulassungsgrund durch Scheidung aufgelöst worden war. Die Zustimmungsbedürftigkeit des kantonalen Verlängerungsentscheids ergibt sich deshalb aus Art. 1 Abs. 1 Bst. a Zustimmungsverordnung in Verbindung mit den Weisungen und Erläuterungen des BFM über Einreise, Aufenthalt und Arbeitsmarkt (ANAG-Weisungen, 3. Aufl., Bern 2006). Die ANAG-Weisungen sehen in Ziff. 132.4 Bst. e vor, dass die Verlängerung der Aufenthaltsbewilligung eines Ausländers oder einer Ausländerin nach Scheidung vom schweizerischen Ehegatten oder nach dessen Tod der Vorinstanz zur Zustimmung zu unterbreiten ist, falls der Ausländer oder die Ausländerin nicht aus einem Mitgliedstaat der EFTA oder der EU stammt. Ein Anspruch auf Zustimmung zur Verlängerung der Aufenthaltsbewilligung besteht vorliegend nicht, denn die Ehe ist geschieden worden, bevor dem Beschwerdeführer gestützt auf Art. 7 Abs. 1 Satz 2 ANAG ein vom Bestand der Ehe unabhängiger Anspruch auf Verlängerung seiner Aufenthaltsbewilligung erwachsen konnte (vgl. BGE 130 II 49 E. 3.2.3 S. 54 f., 128 II 145 E. 1.1.4 und 1.1.5 S. 149 f. mit Hinweisen). Der Beschwerdeführer wendet zwar ein, er hätte die Ehe länger formell aufrechterhalten, wäre er darauf aufmerksam gemacht worden, dass er nach fünf Jahren eine fremdenpolizeilich günstigere Rechtsstellung in Form einer Niederlassung und gar einer erleichterten Einbürgerung hätte erwirken können. Dabei übersieht er allerdings, dass er sich mit der Berufung auf eine nur noch der Form nach bestehende Ehe dem Vorwurf des Rechtsmissbrauchs ausgesetzt hätte (vgl. z. B. BGE 130 II 113 E. 4.2. S. 117 und BGE 128 II 145 E. 2 S. 151 f. bezüglich der Verlängerung einer Aufenthaltsbewilligung; BGE 130 II 482 E. 2 S. 484 und BGE 130 II 169 E. 2.3.1 S. 171 f. bezüglich der erleichterten Einbürgerung).</w:t>
      </w:r>
    </w:p>
    <w:p>
      <w:r>
        <w:rPr>
          <w:b/>
        </w:rPr>
        <w:t>E. 4</w:t>
      </w:r>
    </w:p>
    <w:p>
      <w:r>
        <w:t>Der Entscheid über die Zustimmung liegt demnach im pflichtgemässen Ermessen der Behörde. 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 127 f.).</w:t>
      </w:r>
    </w:p>
    <w:p>
      <w:r>
        <w:rPr>
          <w:b/>
        </w:rPr>
        <w:t>E. 4.1</w:t>
      </w:r>
    </w:p>
    <w:p>
      <w:r>
        <w:t>Die Schweiz verfolgt zur Verwirklichung der in Art. 1 der Verordnung vom 6. Oktober 1986 über die Begrenzung der Zahl der Ausländer (Begrenzungsverordnung, BVO, SR 823.21) formulierten Ziele eine restriktive Einwanderungspolitik gegenüber erwerbstätigen ausländischen Personen aus dem Nicht-EU/EFTA-Raum (nachfolgend: Drittstaatenangehörige). Diese Politik findet ihren Ausdruck in den strengen regulatorischen Zulassungsbeschränkungen der Begrenzungsverordnung, denen erwerbstätige Drittstaatenangehörige namentlich in Gestalt hoher Anforderungen an die berufliche Qualifikation (Art. 8 BVO) und der Höchstzahlen (Art. 12 BVO) unterworfen sind. Das erhebliche Gewicht des öffentlichen Interesses an der Durchsetzung der restriktiven Einwanderungspolitik gegenüber Drittstaatenangehörigen zeigt sich daran, dass humanitäre Gründe erst dann Bedeutung erlangen, wenn die Betroffenheit des Einzelnen die Grenze zum schwerwiegenden persönlichen Härtefall im Sinne von Art. 13 Bst. f BVO überschreitet (vgl. Urteil des Bundesverwaltungsgerichts C-1872/2007 vom 20. September 2007 E. 4.1). Zwar unterstehen Ehegatten von Schweizer Staatsangehörigen nicht den Höchstzahlen der Begrenzungsverordnung; die Verlängerung einer im Rahmen des Familiennachzugs in der Schweiz gewährten Aufenthaltsbewilligung hängt nicht von der Erfüllung der strengen Zulassungskriterien im Rahmen der bestehenden Kontingente oder der Voraussetzung der Ausnahme von der zahlenmässigen Begrenzung aufgrund eines persönlichen Härtefalls ab (vgl. Art. 12 Abs. 2 Satz 2 i.V.m. Art. 3 Abs. 1 Bst. c und Art. 38 BVO). Es ist aber nach dem bisher Gesagten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Ziff. 654 ANAG-Weisungen).</w:t>
      </w:r>
    </w:p>
    <w:p>
      <w:r>
        <w:rPr>
          <w:b/>
        </w:rPr>
        <w:t>E. 4.2.1</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sowohl allgemeine, von der Ehe unabhängige Elemente, wie die Dauer des Aufenthaltes in der Schweiz, der Grad der sozialen und wirtschaftlichen Integration in die hiesigen Verhältnisse, das Alter und der gesundheitliche Zustand, das Alter und die schulische Integration allfälliger Kinder sowie die Unterkunft und die Reintegrationsmöglichkeiten in der Heimat, als auch ehespezifische Elemente, wie die Dauer der Ehe und die Umstände ihrer Auflösung. Dabei ist besonders in Rechnung zu stellen, wenn der ausländischen Person eine Weiterführung der ehelichen Beziehung nicht länger zugemutet werden konnte, namentlich weil sie Opfer von Misshandlungen geworden war (vgl. Ziff. 654 ANAG-Weisungen).</w:t>
      </w:r>
    </w:p>
    <w:p>
      <w:r>
        <w:rPr>
          <w:b/>
        </w:rPr>
        <w:t>E. 4.2.2</w:t>
      </w:r>
    </w:p>
    <w:p>
      <w:r>
        <w:t>Die notwendige Schwere der Betroffenheit in den persönlichen Verhältnissen ist mit Blick auf die Regelung des Art. 7 Abs. 1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Ehedauer in der Schweiz, den Umständen der Auflösung der Ehe und danach, ob namentlich der ausländische Ehegatte ehelicher Gewalt ausgesetzt war. Je mehr diese Elemente ins Gewicht fallen, um so eher wird man von einer hinreichend schweren Betroffenheit ausgehen können. Umgekehrt rechtfertigt sich ein umso strengerer Massstab, als die Härte nicht gerade in der Dauer der Ehe in der Schweiz und den Umständen ihrer Auflösung erblickt werden kann (vgl. dazu Urteil des Bundesgerichts 2A.212/2004 vom 10. Dezember 2004 E. 4.4; ferner Entscheid des EJPD vom 15. April 2005 E. 15.2, VPB 69.76, im Zusammenhang mit der Auflösung der Ehe durch Tod des schweizerischen Ehegatten; vgl. ferner de lege ferenda die abgestufte Regelung in Art. 50 des neuen, per 1. Januar 2008 in Kraft tretenden neuen Bundesgesetzes über Ausländerinnen und Ausländer [BBl 2005 7365]).</w:t>
      </w:r>
    </w:p>
    <w:p>
      <w:r>
        <w:rPr>
          <w:b/>
        </w:rPr>
        <w:t>E. 4.3.1</w:t>
      </w:r>
    </w:p>
    <w:p>
      <w:r>
        <w:t>Die Ehe des Beschwerdeführers in der Schweiz hatte zwar viereinhalb Jahre Bestand, bevor sie im Oktober 2005 geschieden wurde. Die eheliche Gemeinschaft indessen wurde bereits nach gut zwei Jahren endgültig aufgegeben, und die Ehe blieb kinderlos. Die kurze Dauer während der die eheliche Gemeinschaft tatsächlich gelebt wurde verbunden mit der Abwesenheit besonderer Gründe, die zur Auflösung der Ehe geführt haben, rechtfertigt einen vergleichsweise strengen Massstab bei der Gewichtung der betroffenen privaten Interessen.</w:t>
      </w:r>
    </w:p>
    <w:p>
      <w:r>
        <w:rPr>
          <w:b/>
        </w:rPr>
        <w:t>E. 4.3.2</w:t>
      </w:r>
    </w:p>
    <w:p>
      <w:r>
        <w:t>Auf dieser Grundlage ist festzustellen, dass sich der Beschwerdeführer seit März 2001 und damit noch nicht sehr lange in der Schweiz aufhält. Seit Juli 2002 arbeitet der Beschwerdeführer - von Beruf Flugzeugmechaniker - als Hilfsarbeiter bei einem Carrosserie- und Spritzwerk in Nürensdorf. Seine berufliche und private Integration scheinen zwar gut zu sein, dürften aber nicht wesentlich über das hinausgehen, was von Ausländern in vergleichbarer Lage ganz allgemein erwartet werden kann. Der Beschwerdeführer wird von seinem privaten Umfeld als ruhig, seriös und gewissenhaft dargestellt. Er mag ein angenehmer, angepasster Mitbürger sein, enge Beziehungen zur Schweiz lassen sich daraus aber nicht ableiten und sind auch sonst nicht ersichtlich. Dass die Lebensplanung des Beschwerdeführers einen Bruch erfährt und er in seinen mehr oder weniger berechtigten Erwartungen über seinen künftigen Lebensmittelpunkt enttäuscht wird, beruht auf der Entscheidung des Gesetzgebers, erst nach fünfjähriger Ehe auf Schweizer Boden den weiteren Aufenthalt vom Schicksal der Ehe zu lösen. Daraus kann der Beschwerdeführer nichts Entscheidendes für sich ableiten. Dazu tritt, dass der Beschwerdeführer - nunmehr 42-jährig - den grössten Teil seines bisherigen Lebens in Kenia verbracht hat und aufgrund seiner Herkunft, seines Alters, seiner Gesundheit, seiner Ausbildung sowie seiner beruflichen Erfahrung über intakte berufliche und soziale Lebensperspektiven in seiner Heimat verfügen dürfte. Die dazu wünschbaren sozialen Kontakte müssten noch vorhanden oder zumindest reaktivierbar sein.</w:t>
      </w:r>
    </w:p>
    <w:p>
      <w:r>
        <w:rPr>
          <w:b/>
        </w:rPr>
        <w:t>E. 4.3.3</w:t>
      </w:r>
    </w:p>
    <w:p>
      <w:r>
        <w:t>Was schliesslich die - nur über Beilagen, nicht aber in den Rechtsmitteleingaben selbst - geltend gemachte neue Partnerschaft anbetrifft, so vermag eine solche in Bezug auf die vorliegend zu beurteilende Rechtsfrage nicht schon per se zu einem anderen Resultat zu führen.</w:t>
      </w:r>
    </w:p>
    <w:p>
      <w:r>
        <w:rPr>
          <w:b/>
        </w:rPr>
        <w:t>E. 4.4</w:t>
      </w:r>
    </w:p>
    <w:p>
      <w:r>
        <w:t>Das private Interesse des Beschwerdeführers an der weiteren fremdenpolizeilichen Regelung seines Aufenthalts in der Schweiz muss unter den gegebenen Umständen gegenüber dem öffentlichen Interesse an der Durchsetzung der restriktiven Migrationspolitik gegenüber Personen aus dem Nicht-EFTA/EU-Raum zurückstehen. Die Verweigerung der Zustimmung durch die Vorinstanz ist nicht zu beanstanden.</w:t>
      </w:r>
    </w:p>
    <w:p>
      <w:r>
        <w:rPr>
          <w:b/>
        </w:rPr>
        <w:t>E. 5</w:t>
      </w:r>
    </w:p>
    <w:p>
      <w:r>
        <w:t>Aus der Rechtmässigkeit der Zustimmungsverweigerung folgt, dass die Vorinstanz den Beschwerdeführer in Anwendung von Art. 12 Abs. 3 ANAG aus der Schweiz wegweisen durfte und es bliebe zu prüfen, ob dem Vollzug der Wegweisung Hinderungsgründe im Sinne von Art. 14a ANAG entgegenstehen. Da solche Vollzugshindernisse weder geltend gemacht werden noch sich aus den Akten ergeben, ist die angefochtene Verfügung auch unter diesem Gesichtspunkt zu Recht ergangen.</w:t>
      </w:r>
    </w:p>
    <w:p>
      <w:r>
        <w:rPr>
          <w:b/>
        </w:rPr>
        <w:t>E. 6</w:t>
      </w:r>
    </w:p>
    <w:p>
      <w:r>
        <w:t>Aus diesen Erwägungen ergibt sich, dass die Vorinstanz mit der angefochtenen Verfügung Bundesrecht nicht verletzt hat. Der rechtserhebliche Sachverhalt wurde richtig und vollständig festgestellt und die Vorinstanz hat das ihr zustehende Ermessen pflichtgemäss und zutreffend ausgeübt (Art. 49 VwVG). Die Beschwerde ist daher abzuweisen.</w:t>
      </w:r>
    </w:p>
    <w:p>
      <w:r>
        <w:rPr>
          <w:b/>
        </w:rPr>
        <w:t>E. 7</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[SR 173.320.2]).</w:t>
      </w:r>
    </w:p>
    <w:p>
      <w:r>
        <w:rPr>
          <w:b/>
        </w:rPr>
        <w:t>E. 7.1</w:t>
      </w:r>
    </w:p>
    <w:p>
      <w:r>
        <w:t>Das vorliegende Urteil ist mangels eines Anspruchs auf fremdenpolizeiliche Regelung endgültig (Art. 83 Bst. c Ziff. 2 und 4 des Bundesgerichtsgesetzes vom 17. Juni 2005 [BGG, SR 173.110]).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