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C-4988/2009 vom 8. November 2010</w:t>
      </w:r>
    </w:p>
    <w:p>
      <w:r>
        <w:t>Bundesverwaltungsgericht, 2010-11-08, DE</w:t>
      </w:r>
    </w:p>
    <w:p>
      <w:r>
        <w:rPr>
          <w:b/>
        </w:rPr>
        <w:t xml:space="preserve">Quelle: </w:t>
      </w:r>
      <w:r>
        <w:t>https://mcp.opencaselaw.ch/entscheid/bvger_C-4988_2009</w:t>
      </w:r>
    </w:p>
    <w:p>
      <w:r>
        <w:t>FR: TAF C-4988/2009 du 8 novembre 2010</w:t>
      </w:r>
    </w:p>
    <w:p>
      <w:r>
        <w:t>IT: TAF C-4988/2009 del 8 novembre 2010</w:t>
      </w:r>
    </w:p>
    <w:p>
      <w:pPr>
        <w:pStyle w:val="Heading2"/>
      </w:pPr>
      <w:r>
        <w:t>Regeste</w:t>
      </w:r>
    </w:p>
    <w:p>
      <w:r>
        <w:t>Einreise</w:t>
      </w:r>
    </w:p>
    <w:p>
      <w:pPr>
        <w:pStyle w:val="Heading2"/>
      </w:pPr>
      <w:r>
        <w:t>Erwägungen</w:t>
      </w:r>
    </w:p>
    <w:p>
      <w:r>
        <w:rPr>
          <w:b/>
        </w:rPr>
        <w:t>E. 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1.1</w:t>
      </w:r>
    </w:p>
    <w:p>
      <w:r>
        <w:t>Sofern das Verwaltungsgerichtsgesetz nichts anderes bestimmt, richtet sich das Verfahren vor dem Bundesverwaltungsgericht nach dem VwVG (Art. 37 VGG).</w:t>
      </w:r>
    </w:p>
    <w:p>
      <w:r>
        <w:rPr>
          <w:b/>
        </w:rPr>
        <w:t>E. 1.2</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Zur Einreise in die Schweiz bzw. den Schengenraum für einen Aufenthalt von höchstens drei Monaten benötigen sogenannte Drittstaatsangehörige, d.h. Bürger eines nicht zu diesem Raum gehörigen Staates, gültige Reisedokumente, die zum Grenzübertritt berechtigen, und ein Visum, sofern dieses erforderlich ist (vgl. Art. 5 Abs. 1 Bst. a des Bundesgesetzes vom 16. Dezember 2005 über die Ausländerinnen und Ausländer [AuG, SR 142.20]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w:t>
      </w:r>
    </w:p>
    <w:p>
      <w:r>
        <w:rPr>
          <w:b/>
        </w:rPr>
        <w:t>E. 4.2</w:t>
      </w:r>
    </w:p>
    <w:p>
      <w:r>
        <w:t>Im Weiteren müssen sie den Zweck und die Umstände ihres beabsichtigten Aufenthalts belegen und hierfür über ausreichende finanzielle Mittel verfügen (Art. 5 Abs. 1 Bst. c SGK, Art. 5 Abs. 1 Bst. b AuG). Namentlich haben Drittstaatsangehörige zu belegen, dass sie das Land vor Ablauf der Gültigkeitsdauer des beantragten Visums wieder verlassen, bzw. Gewähr für ihre fristgerechte Wiederausreise zu bieten (vgl. Art. 14 Abs. 1 Bst. d der Verordnung [EG] 810/2009 des Europäischen Parlaments und des Rates vom 13. Juli 2009 über einen Visakodex der Gemeinschaft [EG-Visakodex; ABl. L 243 vom 15.09.2009, S. 1], Art. 5 Abs. 2 AuG). Hinsichtlich der in Frage kommenden Belege zur Glaubhaftmachung des Aufenthaltszwecks verweist Art. 5 Abs. 2 SGK auf den Anhang I. Ausführliche Regelungen zum Einreiseerfordernis der ausreichenden finanziellen Mittel finden sich in Art. 5 Abs. 3 SGK sowie in Art. 2 Abs. 2 und Art. 7 - 11 VEV.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w:t>
      </w:r>
    </w:p>
    <w:p>
      <w:r>
        <w:t>In Anhang I zur Verordnung (EG) Nr. 539/2001 des Rates vom 15. März 2001 (ABl. L 81 vom 21.03.2001, S. 1-7), abgeändert durch die Verordnung (EG) Nr. 1244/2009 des Rates vom 30. November 2009 (Visumsbefreiung von Serbien, Montenegro und Mazedonien; ABl. L 336 vom 18.12.2009, S. 1-3) sind diejenigen Staaten aufgelistet, deren Staatsangehörige beim Überschreiten der Aussengrenzen der Schengen-Mitgliedstaaten im Besitze eines Visums sein müssen. Der Kosovo ist in diesem Anhang aufgeführt, weshalb der Gesuchsteller der Visumspflicht unterliegt. Die Anerkennung des Kosovo durch die Schweiz hat daran nichts geändert.</w:t>
      </w:r>
    </w:p>
    <w:p>
      <w:r>
        <w:rPr>
          <w:b/>
        </w:rPr>
        <w:t>E. 6.1</w:t>
      </w:r>
    </w:p>
    <w:p>
      <w:r>
        <w:t>Zur Prüfung des Kriteriums der gesicherten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6.2</w:t>
      </w:r>
    </w:p>
    <w:p>
      <w:r>
        <w:t>Anhaltspunkte zur Beurteilung der fristgerechten Wiederausreise können sich aus der allgemeinen Lage im Herkunftsland der Gesuchstellerin oder des Gesuchstellers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Am 17. Februar 2008 erklärte das kosovarische Parlament die Unabhängigkeit des Landes, die am 26. Februar 2008 von der Schweiz und mittlerweile von 65 Staaten völkerrechtlich anerkannt wurde. Die Sicherheitslage im Kosovo konnte zwar im Verlaufe der letzten Jahre weitgehend stabilisiert werden; auch ist der Wiederaufbau von Administration und Infrastruktur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 sie betrug gemäss den letzten offiziellen Zahlen im Jahr 2009 immer noch 47% - bleibt hartnäckig hoch. So sind mehr als die Hälfte der Erwerbsfähigen ohne oder zumindest ohne regelmässiges Einkommen. Der Armutsanteil der Bevölkerung im Kosovo liegt bei 45%; 17% der Staatsbürger leben sogar in extremer Armut (Quelle: &lt;www.worldbank.org&gt;Countries&gt;Kosovo&gt;Overview&gt;Country Brief, Stand: April 2010, besucht im Oktober 2010). Vor diesem Hintergrund besteht vielfach ein Wunsch zur Auswanderung, welcher sich besonders stark bei ungebundenen Personen manifestiert. Ein im Ausland bereits bestehendes, minimales soziales Beziehungsnetz aus Verwandten oder Freunden ist zudem ein wichtiges Element, das den Entscheid auszuwandern erleichtern kann. Dementsprechend hoch ist der Zuwanderungsdruck aus der Heimatregion des Gesuchstellers, was sich auch in der schweizerischen Asylstatistik widerspiegelt. So stammten im Jahr 2009 4,3% der Asylsuchenden aus dem Kosovo, der damit in der Statistik der Asylgesuche nach Nationen - mit insgesamt 694 Gesuchen - an siebter Stelle stand (Quelle: Bundesamt für Migration, www.bfm.admin. ch&gt;Themen&gt;Statistiken&gt; Asylstatistik&gt;Jahresstatistiken&gt;kommentierte Asylstatistik 2009, S. 10). Seit dem 1. April 2009 gilt der Kosovo zwar als verfolgungssicherer Staat (Safe Country), dies gemäss Beschluss des Bundesrates vom 6. März 2009. Es wird sich aber, auch wenn die Zahl der Asylsuchenden aus dem Kosovo mittlerweilen zurückgegangen ist, zeigen müssen, ob dies weiterhin Einfluss auf künftige Asylbewerberzahlen haben wird. (Quelle: Bundesamt für Migration, a.a.O. &gt;Themen&gt;Statistiken&gt;Asylstatistik &gt;Monatsstatistiken&gt;Asyl-statistiken 2010&gt;Asylstatistik 3. Quartal 2010).</w:t>
      </w:r>
    </w:p>
    <w:p>
      <w:r>
        <w:rPr>
          <w:b/>
        </w:rPr>
        <w:t>E. 6.4</w:t>
      </w:r>
    </w:p>
    <w:p>
      <w:r>
        <w:t>Die geschilderten Umstände im Heimatland des Gesuchstellers deuten zwar auf das latente Risiko einer nicht fristgerechten Wiederausreise hin; sie entbinden die Vorinstanz aber nicht von einer einzelfallbezogenen Beurteilung. Namentlich können berufliche, gesellschaftliche oder familiäre Verpflichtungen die Prognose für eine anstandslose Wiederausreise begünstigen.</w:t>
      </w:r>
    </w:p>
    <w:p>
      <w:r>
        <w:rPr>
          <w:b/>
        </w:rPr>
        <w:t>E. 6.5</w:t>
      </w:r>
    </w:p>
    <w:p>
      <w:r>
        <w:t>Beim Gesuchsteller handelt es sich um einen 68 jährigen Wittwer, der im Dorf Kosin, Gemeinde Ferizaj wohnt. Gemäss den Ausführungen in der Rechtsmitteleingabe und der nachfolgenden Instruktion leben fünf seiner elf Kinder mit ihren Familien im selben Dorf. Er habe vier Kühe und unzählige Hühner um welche er sich kümmern müsse. Er beziehe eine monatliche Rente von 80 Euro und besitze drei Häuser. Als Eigentümer dreier Häuser scheint der Gesuchsteller - wie auf Nachfrage hin vorgebracht und belegt - in einer guten finanziellen Situation zu sein. Angesichts seines Alters, geht er keiner beruflichen Verpflichtung mehr nach. Er bezieht eine monatliche Rente von 80 Euro, welche allerdings bescheiden erscheint, ihm jedoch in Anbetracht der wohl zumindest teilweisen Selbstversorgung (Kühe, Hühner) und der Unterstützung der im selben Dorf lebenden Kinder aller Wahrscheinlichkeit nach ein unabhängiges Leben ermöglicht. Wie sich seine konkrete Wohnsituation - allenfalls Verwandte im selben Haushalt - gestaltet, blieb anlässlich der konkreten Nachfrage im Instruktionsverfahren unbeantwortet. Die Tatsache indessen, dass er - wie geplant - gleich drei Monate landesabwesend sein kann, zeigt einerseits, dass er zu Hause auf Hilfe (Versorgung der Tiere) zählen kann, andererseits aber auch, dass keine Verpflichtungen im Heimatland bestehen, welche den Gesuchsteller ernsthaft von einer Emigration abzuhalten vermöchten. Schliesslich ist ein Sohn von ihm, der Ehemann der Beschwerdeführerin, in die Schweiz ausgewandert und hat sich mit seiner Ehefrau im Kanton Freiburg niedergelassen. Es kann demnach auf einen konkreten Migrationswillen im nächsten Umfeld des Gesuchstellers geschlossen werden. Damit verfügt er über ein bestehendes soziales Beziehungsnetz in der Schweiz, was einen allfälligen Wunsch, den Lebensabend in der Schweiz zu verbringen, akzentuieren könnte. Insbesondere drängen sich Zweifel zur gesundheitlichen Situation des Gesuchstellers auf. Die diesbezüglich gestellte Frage im Instruktionsverfahren blieb gänzlich unbeantwortet, was eine Verletzung der Mitwirkungspflicht gemäss Art. 13 VwVG darstellt, und ernsthafte Zweifel am Gesundheitszustand des Gesuchstellers aufkommen lässt, vorallem nachdem die Beschwerdeführerin in der Rechtmitteleingabe bereits Befürchtungen äusserte, der Gesuchsteller werde sicher bald aus gesundheitlichen Gründen nicht mehr lange reisen können. Vor diesem Hintergrund müssen die Beteuerungen auf Beschwerdeebene, wonach genügend Garantien für eine fristgerechte Wiederausreise vorhanden seien, als nicht ausschlaggebend bezeichnet werden.</w:t>
      </w:r>
    </w:p>
    <w:p>
      <w:r>
        <w:rPr>
          <w:b/>
        </w:rPr>
        <w:t>E. 7</w:t>
      </w:r>
    </w:p>
    <w:p>
      <w:r>
        <w:t>Gestützt auf die vorstehenden Erwägungen durfte die Vorinstanz zu Recht davon ausgehen, die Wiederausreise des Gesuchstellers sei im Sinne der massgeblichen Bestimmungen nicht gesichert. Diese Einschätzung lässt sich auch mit den Beteuerungen der Beschwerdeführerin und ihrer Bereitschaft zur Unterzeichnung einer Verpflichtungserklärung nicht grundlegend in Frage stellen.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Der Gastgeber kann zwar für gewisse finanzielle Risiken im Zusammenhang mit dem Besuchsaufenthalt, mangels rechtlicher und faktischer Durchsetzbarkeit nicht aber für ein bestimmtes Verhalten seines Gastes garantieren (vgl. BVGE 2009/27 E. 9). Die Integrität des Gastgebers - welche im Falle der Beschwerdeführerin nicht anzuzweifeln ist - kann daher nicht ausschlaggebend sein.</w:t>
      </w:r>
    </w:p>
    <w:p>
      <w:r>
        <w:rPr>
          <w:b/>
        </w:rPr>
        <w:t>E. 8</w:t>
      </w:r>
    </w:p>
    <w:p>
      <w:r>
        <w:t>Aus den genannten Gründen ist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demnach abzuweisen.</w:t>
      </w:r>
    </w:p>
    <w:p>
      <w:r>
        <w:rPr>
          <w:b/>
        </w:rPr>
        <w:t>E. 9</w:t>
      </w:r>
    </w:p>
    <w:p>
      <w:r>
        <w:t>Entsprechend dem Ausgang des Verfahrens sind der Beschwerdeführerin die Kosten des Verfahrens aufzuerlegen (Art. 63 Abs. 1 VwVG). Die Verfahrenskosten sind auf Fr. 700.--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