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C-4985/2009 vom 21. Juni 2011</w:t>
      </w:r>
    </w:p>
    <w:p>
      <w:r>
        <w:t>Bundesverwaltungsgericht, 2011-06-21, FR</w:t>
      </w:r>
    </w:p>
    <w:p>
      <w:r>
        <w:rPr>
          <w:b/>
        </w:rPr>
        <w:t xml:space="preserve">Quelle: </w:t>
      </w:r>
      <w:r>
        <w:t>https://mcp.opencaselaw.ch/entscheid/bvger_C-4985_2009</w:t>
      </w:r>
    </w:p>
    <w:p>
      <w:r>
        <w:t>FR: TAF C-4985/2009 du 21 juin 2011</w:t>
      </w:r>
    </w:p>
    <w:p>
      <w:r>
        <w:t>IT: TAF C-4985/2009 del 21 giugno 2011</w:t>
      </w:r>
    </w:p>
    <w:p>
      <w:pPr>
        <w:pStyle w:val="Heading2"/>
      </w:pPr>
      <w:r>
        <w:t>Regeste</w:t>
      </w:r>
    </w:p>
    <w:p>
      <w:r>
        <w:t>Evaluation de l'invalidité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 droit applicable au fond est déterminé par les règles en vigueur au moment où les faits juridiquement déterminants se sont produits (ATF 130 V 445 consid. 1.2). Selon la jurisprudence, le juge n'a pas à prendre en considération les modifications du droit ou de l'état de fait postérieures à la date déterminante de la décision litigieuse (ATF 129 V 1 consid. 1.2; ATF I 274/05 du 21 mars 2006 consid. 1.1). La décision entreprise ayant été rendue le 9 juillet 2009, le droit éventuel à des prestations de l'assurance-invalidité doit être examiné en fonction et des modifications de la LAI consécutives à l'entrée en vigueur le 1er janvier 2008, de la 5e révision de cette loi (RO 2007 p. 5147). Cela étant, la 5e révision de la LAI, n'a pas modifié la notion d'invalidité, ni la manière d'évaluer le taux d'invalidité.</w:t>
      </w:r>
    </w:p>
    <w:p>
      <w:r>
        <w:rPr>
          <w:b/>
        </w:rPr>
        <w:t>E. 4</w:t>
      </w:r>
    </w:p>
    <w:p>
      <w:r>
        <w:t>Tout requérant, pour avoir droit à une rente de l'assurance-invalidité suisse, doit remplir cumulativement les conditions suivantes: - être invalide au sens de la LPGA et de la LAI (art. 8 LPGA et 4, 28, 28a, 29 al. 1 LAI), - avoir versé des cotisations à l'AVS/AI durant au moins trois années au total - dont au moins une en Suisse - auprès d'une assurance sociale assimilée d'un Etat membre de l'Union européenne (UE) ou de l'Association européenne de libre échange (FF 2005 p. 4291; art. 45 du règlement [CEE] 1408/71). En l'occurrence, le recourant remplit la condition liée à la durée minimale de cotisations. Il reste dès lors à examiner si l'intéressé pouvait être qualifié d'invalide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L'assuré a droit à un quart de rente s'il est invalide à 40% au moins, à une demi-rente s'il est invalide à 50%, à trois-quarts de rente s'il est invalide à 60% et à une rente entière s'il est invalide à 70% au moins (art. 28 al. 1 LAI).</w:t>
      </w:r>
    </w:p>
    <w:p>
      <w:r>
        <w:rPr>
          <w:b/>
        </w:rPr>
        <w:t>E. 6.1</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pendant une année sans interruption notable (lettre b; ATF 121 V 264 ss) et au terme de cette année, il est invalide à 40% au moins. D'après la jurisprudence constante du Tribunal fédéral, la lettre b signifie que l'état de santé est labile, c'est-à-dire susceptible d'une amélioration ou d'une aggravation (ATF 111 V 21 consid. 2; ATF 99 V 98 consid. 1; ATF 96 V 42 consid. 1). Le délai d'attente selon l'art. 28 al. 1 let. b LAI est réputé avoir commencé dès qu'il a été possible de constater une incapacité de travail de 20% (cf. chiffre marginal 2010 de la Circulaire concernant l'invalidité et l'impotence dans sa teneur au 1er janvier 2008; Jurisprudence et pratique administrative des autorités d'exécution de l'AVS/AI [Pratique VSI] 1998 p. 126 consid. 3c).</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En vertu de l'art. 28a al. 2 LAI, en dérogation à l'art. 16 LPGA, l'invalidité des assurés qui n'exercent pas d'activité lucrative est évaluée en fonction de l'incapacité d'accomplir leurs travaux habituels. L'invalidité dans ces travaux doit être évaluée par comparaison des activités (art. 27 RAI ; méthode spécifique) et est déterminée, en règle générale, au moyen d'une enquête économique sur place (VSI 2001 p. 158 consid. 3c). L'incapacité de travail correspondra alors à la diminution - attestée médicalement - du rendement fonctionnel dans l'accomplissement des travaux habituels.</w:t>
      </w:r>
    </w:p>
    <w:p>
      <w:r>
        <w:rPr>
          <w:b/>
        </w:rPr>
        <w:t>E. 7.2</w:t>
      </w:r>
    </w:p>
    <w:p>
      <w:r>
        <w:t>Le choix de la méthode d'évaluation de l'invalidité (méthode générale de la comparaison des revenus, méthode mixte, méthode spécifique) dépendra du statut de l'assuré qui soit exerce une activité lucrative à temps complet, soit exerce une activité lucrative à temps partiel, soit n'a aucune activité. Le classement de l'assuré dans l'un ou l'autre de ces statuts dépendra de ce qu'il aurait fait s'il n'y avait pas eu une atteinte à la santé ceteris paribus sic stantibus. Pour ce faire, il convient de prendre en considération l'évolution de la situation jusqu'au prononcé de la décision entreprise, en admettant la reprise hypothétique d'une activité lucrative partielle ou complète, si cette éventualité présente un degré de vraisemblance prépondérante (ATF, 129 V 150 consid 2.1 et les références citées).</w:t>
      </w:r>
    </w:p>
    <w:p>
      <w:r>
        <w:rPr>
          <w:b/>
        </w:rPr>
        <w:t>E. 7.3</w:t>
      </w:r>
    </w:p>
    <w:p>
      <w:r>
        <w:t>Lorsque l'assuré ne doit pas être considéré comme une personne exerçant une activité à temps plein (méthode générale), il convient encore de déterminer la part consacrée aux travaux habituels dans le ménage par rapport à celle de l'activité lucrative. La part de l'activité lucrative est, dans ce cas, déterminée en comparant en pourcentage l'horaire usuel dans la profession en question à l'horaire effectivement accompli; la part des travaux habituels constitue le reste du pourcentage. L'invalidité est déterminée, d'une part, par comparaison des activités selon l'art. 27 RAI (travaux habituels) et, d'autre part, par comparaison des revenus selon l'art. 28a al. 1 LAI (activité lucrative), l'invalidité globale étant déterminée pro rata temporis de chacune des parts (cf. art. 28a al. 3 LAI qui s'applique aussi lorsque l'assuré travaille sans être rémunéré dans l'entreprise de son conjoint).</w:t>
      </w:r>
    </w:p>
    <w:p>
      <w:r>
        <w:rPr>
          <w:b/>
        </w:rPr>
        <w:t>E. 8.1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S'agissant de l'application de la méthode spécifique, même si, pour les assurés résidant à l'étranger, faute de personnel qualifié, une enquête économique ne peut pas être diligentée sur place, il convient tout de même de procéder à une évaluation de l'atteinte dans l'accomplissement des tâches habituelles selon des principes analogues (arrêt du TAF C-5131/2007 du 16 mars 2009 consid. 4.2.5). Ainsi, selon la jurisprudence, pour lui reconnaître une valeur probante, il est essentiel que l'enquête soit effectuée par une personne qualifiée qui a la connaissance des relations locales et spatiales ainsi que des atteintes et handicaps ressortant des diagnostics médicaux. De plus, l'avis de l'assuré doit être pris en considération; cas échéant il faut donc indiquer les divergences. Le texte du rapport doit être plausible, motivé et raisonnablement détaillé au sujet des différentes restrictions, conformément aux observations relevées sur place (ATF 134 V 9 [arrêt I 246/05 du 30 octobre 2007] consid. 5.2 non publié).</w:t>
      </w:r>
    </w:p>
    <w:p>
      <w:r>
        <w:rPr>
          <w:b/>
        </w:rPr>
        <w:t>E. 8.3</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Tribunal fédéral I 936/05 du 2 avril 2007 consid. 3.3 et les références citées)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8.4</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la situation est pour le moins confuse, notamment quant au statut du recourant qui indique avoir cessé son activité professionnelle d'agent d'assurance indépendant en septembre 2006, soit bien avant les atteintes à la santé dont il se prévaut. Aucun indice dans le dossier ne laisse penser que ce sont des raisons médicales qui l'ont contraint à abandonner son métier. Il mentionne dans le questionnaire à l'assuré s'être occupé de ses parents âgés décédés depuis, sans que l'on sache si cela a motivé son choix. Ainsi, la Cour ne peut suivre l'autorité inférieure lorsque qu'elle se prononce sur la reprise d'une activité que l'assuré n'exerçait plus. Elle ne s'est pas renseignée sur les intentions du recourant, à savoir si sans l'atteinte à sa santé il aurait repris une activité lucrative ou s'il faut le considérer comme un assuré sans activité et enquêter alors sur sa capacité à accomplir des travaux habituels en application de la méthode spécifique de comparaison des revenus.</w:t>
      </w:r>
    </w:p>
    <w:p>
      <w:r>
        <w:rPr>
          <w:b/>
        </w:rPr>
        <w:t>E. 9.2</w:t>
      </w:r>
    </w:p>
    <w:p>
      <w:r>
        <w:t>Les incidences de son état de santé sur sa capacité résiduelle de travail ne sont pas non plus clairement déterminées. L'expertise E213 est la seule - outre bien entendu la détermination du médecin de l'OAIE qui est sensé se baser sur le dossier à défaut d'examiner elle-même l'assuré - à se prononcer à ce sujet et elle exclut la reprise de l'ancienne activité tout en tolérant une activité professionnelle sédentaire à temps complet (pour autant que l'on applique la méthode générale ou extraordinaire ce qui est douteux en l'espèce). Or, la Dresse D._______ prône la reprise de l'activité cessée depuis plus d'un an au moment de l'hospitalisation du recourant. Elle ne donne aucun motif qui permettrait de comprendre pourquoi elle s'écarte de la prise de position de la Dresse C._______. Celle-ci a examiné le recourant et note qu'il se déplace difficilement, avec une béquille et un tuteur à la jambe gauche, que l'atrophie musculaire est importante et qu'il présente une sévère hyperalgie depuis la moitié inférieure de la jambe. Peut-être ce constat médical n'est pas incompatible avec la reprise d'une activité (toujours dans l'optique de l'application de la méthode générale ou extraordinaire, ce qui reste à déterminer), mais on voit mal un tel patient se déplacer avec aisance pour exercer sa fonction d'agent d'assurance indépendant. L'avis du service médical doit être plus détaillé dans ce sens qu'il devrait - selon la méthode utilisée - renseigner sur les activités concrètes qu'est amené à exercer un agent d'assurance indépendant. L'absence d'explications y relative ainsi que l'avis divergent contenu dans l'expertise E213 au sujet de l'exigibilité d'une telle activité ne permettent pas de comprendre le raisonnement de la Dresse D._______. Le cas concret nécessite éventuellement le concours des experts en orientation professionnelle (cf. consid. 8.3 et la référence citée). La Cour ne peut donc pas se rallier sans autre à la position de l'autorité inférieure. Il sied de préciser qu'il ne s'agit en aucune manière de reconnaître la décision espagnole dont le recourant se prévaut puisque seul le droit interne détermine les modalités de l'évaluation du taux d'invalidité (cf. consid. 3.4) qui est, selon la loi suisse, une notion juridico-économique et non médicale. En d'autres termes, seules sont couvertes les pertes économiques (atteignant au moins 40% du revenu) liées à une atteinte à la santé physique ou psychique et non la maladie en tant que telle. En Espagne, la situation est toute différente. A titre d'exemple: les documents espagnols produits par le recourant font état d'un degré d'handicap ("Grado Total de Minusvalia" et non d'invalidité) calculé en application d'un barème de valorisation ("Baremos de Valoricaión de Discapacidades"). Or ce barème prend en compte des critères sociaux susceptibles de compliquer l'intégration de la personne handicapée tels l'environnement familial, l'éducation, la situation culturelle (cf. articulos 4 del Royal Decreto 1971/1999, de 23 diciembre, consulté sur le site internet http://noticias.juridicas.com/base_datos/Admin/rd1971-1999.html le 9 juin 2011), qui sont très clairement en droit suisse des facteurs étrangers à l'invalidité et impropres à influencer l'octroi d'une rente (cf. RCC 1991, p. 239 consid. 3c; arrêt du TF I 175/04 du 28 janvier 2005 consid. 3; VSI 1999 p. 247 consid. 1; Pratique VSI 1998 p. 296 consid. 3b).</w:t>
      </w:r>
    </w:p>
    <w:p>
      <w:r>
        <w:rPr>
          <w:b/>
        </w:rPr>
        <w:t>E. 10.1</w:t>
      </w:r>
    </w:p>
    <w:p>
      <w:r>
        <w:t>En conclusion, si une capacité résiduelle de travail subsiste peut-être, le TAF doit constater qu'il ne possède pas les éléments clairs pour se faire une opinion circonstanciée de la mesure de cette capacité ni, si le recourant doit être reconnu comme assuré sans activité, de savoir quelles sont exactement les incidences de l'état de santé du recourant sur sa capacité à accomplir ses travaux habituels.</w:t>
      </w:r>
    </w:p>
    <w:p>
      <w:r>
        <w:rPr>
          <w:b/>
        </w:rPr>
        <w:t>E. 10.2</w:t>
      </w:r>
    </w:p>
    <w:p>
      <w:r>
        <w:t>Partant, il se justifie d'annuler la décision du 5 juin 2009 et d'admettre le recours dans ce sens que la cause est renvoyée à l'autorité inférieure afin qu'elle détermine clairement les activités du recourant, les conséquences des atteintes à la santé sur ces activités en diligentant soit une expertise médicale soit une enquête économique correspondant aux exigences de la jurisprudence. Surtout, elle indiquera explicitement sur quelle méthode s'appuie finalement sa décision.</w:t>
      </w:r>
    </w:p>
    <w:p>
      <w:r>
        <w:rPr>
          <w:b/>
        </w:rPr>
        <w:t>E. 11.1</w:t>
      </w:r>
    </w:p>
    <w:p>
      <w:r>
        <w:t>Compte tenu de l'issue du litige, il n'est pas perçu de frais de procédure (art. 63 al. 1 et 2 PA). En conséquence, l'avance de frais de Fr. 400.- déjà versée par le recourant lui sera restituée sur le compte qu'il aura désigné, une fois le présent arrêt entré en force.</w:t>
      </w:r>
    </w:p>
    <w:p>
      <w:r>
        <w:rPr>
          <w:b/>
        </w:rPr>
        <w:t>E. 11.2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l'organisme représentant le recourant en instance de recours a consisté principalement dans la rédaction d'une réplique de 2 pages et demie, accompagné d'un bordereau de 4 pièces. Il se justifie, eu égard à ce qui précède, de lui allouer une indemnité à titre de dépens de Fr. 600.-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