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C-4982/2022 vom 2. Mai 2024</w:t>
      </w:r>
    </w:p>
    <w:p>
      <w:r>
        <w:t>Bundesverwaltungsgericht, 2024-05-02, DE</w:t>
      </w:r>
    </w:p>
    <w:p>
      <w:r>
        <w:rPr>
          <w:b/>
        </w:rPr>
        <w:t xml:space="preserve">Quelle: </w:t>
      </w:r>
      <w:r>
        <w:t>https://mcp.opencaselaw.ch/entscheid/bvger_C-4982_2022</w:t>
      </w:r>
    </w:p>
    <w:p>
      <w:r>
        <w:t>FR: TAF C-4982/2022 du 2 mai 2024</w:t>
      </w:r>
    </w:p>
    <w:p>
      <w:r>
        <w:t>IT: TAF C-4982/2022 del 2 maggio 2024</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32 und 33 Bst. d des Bundesgesetzes vom 17. Juni 2005 über das Bundesverwaltungsgericht (Verwaltungsgerichtsgesetz, VGG, SR 173.32)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1a–26bis und Art. 28–70 IVG), soweit das IVG nicht ausdrücklich eine Abweichung vom ATSG vorsieht. Nach der Recht- sprechung sind neue Verfahrensvorschriften mangels anders lautender Übergangsbestimmungen mit dem Tag des Inkrafttretens sofort und in vol- lem Umfang anwendbar (BGE 148 V 21 E. 5.3; 130 V 1 E. 3.2; 129 V 113 E. 2.2).</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Art. 48 Abs. 1 VwVG). Nachdem auch der Kostenvorschuss rechtzeitig geleistet wurde (Art. 69 Abs. 1bis und Abs. 2 IVG i.V.m. Art. 63 Abs. 4 VwVG; BVGer-act. 4), ist auf die frist- und formgerecht eingereichte Beschwerde einzutreten (Art. 60 ATSG; Art. 50 und Art. 52 Abs. 1 VwVG).</w:t>
      </w:r>
    </w:p>
    <w:p>
      <w:r>
        <w:t>C-4982/2022 Seite 7</w:t>
      </w:r>
    </w:p>
    <w:p>
      <w:r>
        <w:rPr>
          <w:b/>
        </w:rPr>
        <w:t>E. 2</w:t>
      </w:r>
    </w:p>
    <w:p>
      <w:r>
        <w:t>Anfechtungsobjekt und damit Begrenzung des Streitgegenstandes des vorliegenden Beschwerdeverfahrens (vgl. BGE 131 V 164 E. 2.1) bildet die Verfügung vom 29. September 2022, mit welcher die Vorinstanz das Leis- tungsbegehren des Beschwerdeführers abgewiesen hat. Streitig und vom Bundesverwaltungsgericht zu prüfen ist der Anspruch des Beschwerdefüh- rers auf eine schweizerische Invalidenrente im Rahmen seiner Erstanmel- dung vom 2. Juli 2021 (vgl. oben Bst. B.a).</w:t>
      </w:r>
    </w:p>
    <w:p>
      <w:r>
        <w:rPr>
          <w:b/>
        </w:rPr>
        <w:t>E. 3</w:t>
      </w:r>
    </w:p>
    <w:p>
      <w:r>
        <w:t>Zum Beschwerdeverfahren ist sodann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 Par- teien (vgl. Art. 43 Abs. 3 ATSG; BGE 125 V 193 E. 2 und 122 V 157 E. 1a, je m.w.H.). Sofern das Gesetz nicht etwas Abweichendes vorsieht, gilt im Sozialversicherungsrecht der Beweisgrad der überwiegenden Wahr- scheinlichkeit (BGE 144 V 427 E. 3.2; 143 V 168 E. 2; 138 V 218 E. 6).</w:t>
      </w:r>
    </w:p>
    <w:p>
      <w:r>
        <w:rPr>
          <w:b/>
        </w:rPr>
        <w:t>E. 4</w:t>
      </w:r>
    </w:p>
    <w:p>
      <w:r>
        <w:t>Nachfolgend ist das anwendbare materielle Recht und der zeitlich mass- gebende Sachverhalt zu bestimmen:</w:t>
      </w:r>
    </w:p>
    <w:p>
      <w:r>
        <w:t>C-4982/2022 Seite 8</w:t>
      </w:r>
    </w:p>
    <w:p>
      <w:r>
        <w:rPr>
          <w:b/>
        </w:rPr>
        <w:t>E. 4.1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Bundesgerichts [BGer] 9C_573/2012 vom 16. Januar 2013 E. 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 treten. Leistungsansprüche, die nach Inkrafttreten dieser Änderungen ent- standen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t>Erfolgt die Verfügung über die erstmalige Rentenzusprache nach dem 1. Januar 2022, welche aber einen Rentenanspruch vor dem 1. Januar 2022 begründet, sind die Bestimmungen des IVG und diejenigen der IVV</w:t>
      </w:r>
    </w:p>
    <w:p>
      <w:r>
        <w:t>C-4982/2022 Seite 9 in der Fassung gültig bis 31. Dezember 2021 massgebend (vgl. Kreis- schreiben des BSV über Invalidität und Rente in der Invalidenversicherung [KSIR], gültig ab 1. Januar 2022, Rz. 9101).</w:t>
      </w:r>
    </w:p>
    <w:p>
      <w:r>
        <w:t>Vorliegend könnte ein allfälliger Rentenanspruch des Beschwerdeführers frühestens am 1. Januar 2022 entstehen (vgl. Art. 29 IVG; vgl. auch nach- folgend E. 5.5), weshalb der Rentenanspruch des Beschwerdeführers nach den neuen Normen zu prüfen ist.</w:t>
      </w:r>
    </w:p>
    <w:p>
      <w:r>
        <w:rPr>
          <w:b/>
        </w:rPr>
        <w:t>E. 4.3</w:t>
      </w:r>
    </w:p>
    <w:p>
      <w:r>
        <w:t>Das Sozialversicherungsgericht stellt bei der Beurteilung einer Streit- sache in der Regel auf den bis zum Zeitpunkt des Erlasses der streitigen Verwaltungsverfügung (hier: 29. September 2022) eingetretenen Sachver- halt ab (BGE 144 V 224 E. 6.1.1; 132 V 215 E. 3.1.1; 131 V 242 E. 2.1;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 punkt des Verfügungserlasses zu beeinflussen (BGE 121 V 362 E. 1b; Ur- teile des BGer 8C_95/2017 vom 15. Mai 2017 E. 5.1; 9C_24/2008 vom 27. Mai 2008 E. 2.3.1).</w:t>
      </w:r>
    </w:p>
    <w:p>
      <w:r>
        <w:rPr>
          <w:b/>
        </w:rPr>
        <w:t>E. 5</w:t>
      </w:r>
    </w:p>
    <w:p>
      <w:r>
        <w:t>Weiter sind zunächst die vorliegend massgebenden gesetzlichen Grundla- gen und die dazu von der Rechtsprechung entwickelten Grundsätze dar- zulegen:</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w:t>
      </w:r>
    </w:p>
    <w:p>
      <w:r>
        <w:t>Der Beschwerdeführer hat während mehr als drei Jahren Beiträge in die- sem Sinn geleistet (vgl. IVSTA-act. 10), so dass die Anspruchsvorausset- zung der Mindestbeitragsdauer erfüllt ist. Es bleibt zu prüfen, ob er invalid im Sinne des Gesetzes ist.</w:t>
      </w:r>
    </w:p>
    <w:p>
      <w:r>
        <w:t>C-4982/2022 Seite 10</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 den Renten nur an Versicherte ausbezahlt, die ihren Wohnsitz und ihren gewöhnlichen Aufenthalt (Art. 13 ATSG) in der Schweiz haben (Art. 29 Abs. 4 IVG). Diese Einschränkung gilt jedoch nicht für die</w:t>
      </w:r>
    </w:p>
    <w:p>
      <w:r>
        <w:t>C-4982/2022 Seite 11 Staatsangehörigen eines Mitgliedstaates der EU und der Schweiz, sofern sie in einem Mitgliedstaat der EU Wohnsitz haben (Art. 4 und 7 VO [EG] 883/2004; vgl. BGE 130 V 253 E. 2.3 und E. 3.1).</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5.6</w:t>
      </w:r>
    </w:p>
    <w:p>
      <w:r>
        <w:t>Hinsichtlich der Beurteilung der Arbeits(un)fähigkeit gilt Folgendes:</w:t>
      </w:r>
    </w:p>
    <w:p>
      <w:r>
        <w:rPr>
          <w:b/>
        </w:rPr>
        <w:t>E. 5.6.1</w:t>
      </w:r>
    </w:p>
    <w:p>
      <w:r>
        <w:t>Die Verwaltung und – im Beschwerdefall – das Gericht stützen sich auf Unterlagen, die von ärztlichen und gegebenenfalls auch anderen Fach- leuten zur Verfügung zu stellen sind. Ärztliche Aufgabe ist es, den Gesund- heitszustand zu beurteilen und dazu Stellung zu nehmen, in welchem Um- fang und bezüglich welcher Tätigkeiten die versicherte Person arbeitsfähig ist.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begutachtende medizinische Fachperson muss über die notwendigen fachlichen Qualifi- kationen verfügen (vgl. Urteile des BGer 9C_546/2018 vom 17. Dezember 2018 E. 4.3 mit Verweis auf BGE 137 V 210; 9C_555/2017 vom 22. No- 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C-4982/2022 Seite 12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in fine; 142 V 58 E. 5.1 in fine; 139 V 225 E. 5.2). Die Stellungnahmen des regionalen ärztlichen Dienstes (RAD) und des medizinischen Dienstes der IVSTA sind als versi- cherungsinterne Berichte zu würdigen (vgl. betreffend RAD: Urteile des BGer 9C_159/2016 vom 2. November 2016 E. 2.2 f.; 8C_197/2014 vom 3. Oktober 2014 E. 4).</w:t>
      </w:r>
    </w:p>
    <w:p>
      <w:r>
        <w:t>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 Die</w:t>
      </w:r>
    </w:p>
    <w:p>
      <w:r>
        <w:t>C-4982/2022 Seite 13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rPr>
          <w:b/>
        </w:rPr>
        <w:t>E. 5.6.4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5.6.5</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w:t>
      </w:r>
    </w:p>
    <w:p>
      <w:r>
        <w:t>C-4982/2022 Seite 14 invalidenversicherungsrechtliche Relevanz abgesprochen werden kann (E. 5.3.3), sondern diese vielmehr als invalidenversicherungsrechtlich be- achtliche (psychische) Gesundheitsschäden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Abhängigkeitssyndrom im Einzelfall auf die Arbeitsfähig- keit der versicherten Person auswirkt (E. 6.3).</w:t>
      </w:r>
    </w:p>
    <w:p>
      <w:r>
        <w:rPr>
          <w:b/>
        </w:rPr>
        <w:t>E. 6</w:t>
      </w:r>
    </w:p>
    <w:p>
      <w:r>
        <w:t>Vorliegend ist insbesondere zu prüfen, ob die Vorinstanz ihrer Abklärungs- pflicht im Sinne von Art. 43 Abs. 1 ATSG rechtsgenüglich nachgekommen ist (vgl. oben E. 3.3).</w:t>
      </w:r>
    </w:p>
    <w:p>
      <w:r>
        <w:rPr>
          <w:b/>
        </w:rPr>
        <w:t>E. 6.1</w:t>
      </w:r>
    </w:p>
    <w:p>
      <w:r>
        <w:t>Die Vorinstanz stützte ihre Beurteilung in der angefochtenen Verfügung auf die (reinen) Aktenbeurteilungen der Ärzte des medizinischen Dienstes der IVSTA, das heisst die Berichte von Dr. C._______ vom 30. September 2021 und 31. Mai 2022 in somatischer Hinsicht (IVSTA-act. 45; 75; vgl. oben Bst. B.b und B.f) sowie von Dr. D._______ vom 14. März 2022 und von Dr. F._______ vom 13. September 2022 in psychiatrischer Hinsicht (IVSTA-act. 48; 77; vgl. oben Bst. B.c und B.g). Gemäss den aktenkundi- gen Berichten hat die Vorinstanz – abgesehen von den erwähnten Akten- beurteilungen ihres medizinischen Dienstes – im Rahmen der Erstanmel- dung des Beschwerdeführers vom 2. Juli 2021 keine eigenen medizini- schen Abklärungen veranlasst. Dies ist, wie bereits vorstehend in Erwä- gung 5.6.3 ausgeführt, nicht per se unzulässig.</w:t>
      </w:r>
    </w:p>
    <w:p>
      <w:r>
        <w:rPr>
          <w:b/>
        </w:rPr>
        <w:t>E. 6.2</w:t>
      </w:r>
    </w:p>
    <w:p>
      <w:r>
        <w:t>Soweit die IVSTA vorliegend in der Verfügung vom 29. September 2022 von einer uneingeschränkten Arbeitsfähigkeit in angepasster Tätigkeit aus- geht, hat sie die Auswirkungen der Beschwerden auf die Arbeitsfähigkeit des Beschwerdeführers – insbesondere in psychiatrischer Hinsicht – nicht umfassend und interdisziplinär abgeklärt:</w:t>
      </w:r>
    </w:p>
    <w:p>
      <w:r>
        <w:rPr>
          <w:b/>
        </w:rPr>
        <w:t>E. 6.2.1</w:t>
      </w:r>
    </w:p>
    <w:p>
      <w:r>
        <w:t>Zu den somatischen Beschwerden ist vorab festzuhalten, dass Dr. C._______ mit den Arztberichten der behandelnden Ärzte und Ärztin- nen übereinstimmend festgehalten hat, der Beschwerdeführer leide an chronischen Schmerzen und Funktionseinschränkungen des Bewegungs- apparates einerseits und andererseits an verschiedenen degenerativen Skelettveränderungen sowie an einem Atemwegsleiden, konkret Asthma bronchiale, Schlafapnoe (unter CPAP-Beatmung) und COPD (IVSTA- act. 45; 75). Zur Arbeitsfähigkeit ist den vorliegenden Unterlagen nur zu</w:t>
      </w:r>
    </w:p>
    <w:p>
      <w:r>
        <w:t>C-4982/2022 Seite 15 entnehmen, dass dem Beschwerdeführer von seinem Hausarzt Dr. G._______ ab Juli 2020 eine nicht weiter substantiierte Arbeitsunfähig- keit attestiert wurde (IVSTA-act. 58). Hinsichtlich der verlangten Berück- sichtigung der Anfang des Jahres 2023 geplanten Operation am Magen und Zwerchfell (vgl. BVGer-act. 1 Rz. 20) ist darauf hinzuweisen, dass diese vorliegend (noch) unbeachtlich ist, da sie nicht in den zu beurteilen- den Zeitraum (vom frühestmöglichen Rentenbeginn am 1. Januar 2022 bis zum Datum der angefochtenen Verfügung am 29. September 2022) fällt. Dasselbe gilt für die in der Triplik neu geltend gemachte Frakturgefahr des Wirbelkörpers BWK 9 (BVGer-act. 19 Rz. 16), welche sich aus dem Bericht vom 25. Mai 2023 (BVGer-act. 19 Beilage 4) ergibt.</w:t>
      </w:r>
    </w:p>
    <w:p>
      <w:r>
        <w:rPr>
          <w:b/>
        </w:rPr>
        <w:t>E. 6.2.2</w:t>
      </w:r>
    </w:p>
    <w:p>
      <w:r>
        <w:t>In psychiatrischer Hinsicht hält Dr. F._______ in seiner Stellung- nahme vom 13. September 2022 – grundsätzlich in Übereinstimmung mit der behandelnden Psychiaterin Dr. med. univ. E._______ (IVSTA-act. 34; 71) – fest, die diversen somatischen Beschwerden seien phasenweise der Ursprung der psychischen Beschwerden des Beschwerdeführers. In der Folge gelangt er zur Beurteilung, die depressive Episode habe eine mittlere bis schwache Intensität und sei jeweils von kurzer Dauer, weshalb kein Einfluss auf die Arbeitsfähigkeit bestehe. Ausserdem bestehe zwar ein Al- koholproblem, aber ohne funktionelle Auswirkungen, weshalb ebenfalls kein Einfluss auf die Arbeitsfähigkeit bestehe (IVSTA-act. 77). Es ist für das Gericht allerdings insbesondere nicht nachvollziehbar, woraus Dr. E._______ schliesst, die depressive Episode sei jeweils nur von kurzer Dauer. Den Akten ist vielmehr zu entnehmen, dass sich der Beschwerde- führer zumindest seit Mai 2021 in regelmässiger psychiatrischer Behand- lung befindet (vgl. BVGer-act. 12 Beilage 1) und eine antidepressive Medi- kation erhält (IVSTA-act. 62). Ausserdem ist festzuhalten, dass gestützt auf die vorliegenden fachärztlichen Berichte der behandelnden Psychiaterin keine Beurteilung allfälliger Funktionseinschränkungen und entsprechend auch die – aufgrund der psychischen Erkrankung sowie der Suchterkran- kung erforderliche – Indikatorenprüfung nicht möglich ist (vgl. dazu oben E. 5.6.4 f.).</w:t>
      </w:r>
    </w:p>
    <w:p>
      <w:r>
        <w:rPr>
          <w:b/>
        </w:rPr>
        <w:t>E. 6.2.3</w:t>
      </w:r>
    </w:p>
    <w:p>
      <w:r>
        <w:t>Im Übrigen fehlt auch eine interdisziplinäre Gesamtbeurteilung der Leistungsfähigkeit des Beschwerdeführers, zumal die diversen somati- schen Beschwerden (vgl. dazu oben E. 6.2.1) gemäss der behandelnden Psychiaterin einen Einfluss auf die psychischen Beschwerden des Be- schwerdeführers haben sollen (IVSTA-act. 71).</w:t>
      </w:r>
    </w:p>
    <w:p>
      <w:r>
        <w:t>C-4982/2022 Seite 16</w:t>
      </w:r>
    </w:p>
    <w:p>
      <w:r>
        <w:rPr>
          <w:b/>
        </w:rPr>
        <w:t>E. 6.3</w:t>
      </w:r>
    </w:p>
    <w:p>
      <w:r>
        <w:t>Die Vorinstanz hat im Beschwerdeverfahren schliesslich in ihrer Quadruplik beantragt, die angefochtene Verfügung sei aufzuheben und die Sache sei im Sinne der medizinischen Stellungnahme von Dr. F._______ – zur Aktualisierung des psychiatrischen Dossiers – an die Verwaltung zu- rückzuweisen (vgl. oben Bst. C.h).</w:t>
      </w:r>
    </w:p>
    <w:p>
      <w:r>
        <w:rPr>
          <w:b/>
        </w:rPr>
        <w:t>E. 7</w:t>
      </w:r>
    </w:p>
    <w:p>
      <w:r>
        <w:t>Zusammenfassend ist Folgendes festzuhalten:</w:t>
      </w:r>
    </w:p>
    <w:p>
      <w:r>
        <w:rPr>
          <w:b/>
        </w:rPr>
        <w:t>E. 7.1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7.2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(vgl. oben E. 6.2.1 und 6.2.2) erscheinen zumindest Expertisen in den Fachbereichen Innere Medizin, Rheumatologie, Pneumologie und Psychiatrie (letztere ins- besondere unter Berücksichtigung der Standardindikatoren gemäss bun- desgerichtlicher Rechtsprechung [BGE 143 V 418; 143 V 409; 141 V 281] bzw. bei Suchterkrankungen: [BGE 145 V 215;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7.3</w:t>
      </w:r>
    </w:p>
    <w:p>
      <w:r>
        <w:t>Die interdisziplinäre Begutachtung hat vorliegend in der Schweiz zu er- folgen, da die Abklärungsstelle mit den Grundsätzen der schweizerischen Versicherungsmedizin vertraut sein muss (vgl. dazu Urteil des BGer 9C_235/2013 vom 10. September 2013 E. 3.1; statt vieler: Urteil des</w:t>
      </w:r>
    </w:p>
    <w:p>
      <w:r>
        <w:t>C-4982/2022 Seite 17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 zuräumen (vgl. Art. 44 ATSG und BGE 137 V 210 E. 3.4.2.9).</w:t>
      </w:r>
    </w:p>
    <w:p>
      <w:r>
        <w:rPr>
          <w:b/>
        </w:rPr>
        <w:t>E. 7.4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7.5</w:t>
      </w:r>
    </w:p>
    <w:p>
      <w:r>
        <w:t>Die Beschwerde ist demnach dahingehend gutzuheissen, als die an- gefochtene Verfügung vom 29. September 2022 aufzuheben ist und die Akten zur Durchführung weiterer Abklärungen im Sinne der vorstehenden Erwägungen und anschliessendem Erlass einer neuen Verfügung an die Vorinstanz zurückzuweisen sind.</w:t>
      </w:r>
    </w:p>
    <w:p>
      <w:r>
        <w:rPr>
          <w:b/>
        </w:rPr>
        <w:t>E. 8</w:t>
      </w:r>
    </w:p>
    <w:p>
      <w:r>
        <w:t>Zu befinden bleibt über die Verfahrenskosten und eine allfällige Parteient- schädigung.</w:t>
      </w:r>
    </w:p>
    <w:p>
      <w:r>
        <w:rPr>
          <w:b/>
        </w:rPr>
        <w:t>E. 8.1</w:t>
      </w:r>
    </w:p>
    <w:p>
      <w:r>
        <w:t>Das Bundesverwaltungsgericht auferlegt gemäss Art. 63 Abs. 1 und Abs. 3 VwVG die Verfahrenskosten in der Regel der unterliegenden Partei. Da eine Rückweisung praxisgemäss als Obsiegen der Beschwerde führen- den Partei gilt, unabhängig davon, ob sie beantragt oder ob das entspre- chende Begehren im Haupt- oder im Eventualantrag gestellt wird (BGE 146 V 28 E. 7; 141 V 281 E. 11.1; 132 V 215 E. 6), sind dem Beschwerdeführer keine Verfahrenskosten aufzuerlegen. Der geleistete Kostenvorschuss in der Höhe von Fr. 800.– ist ihm demnach nach Rechtskraft dieses Urteils zurückzuerstatten. Auch der Vorinstanz sind keine Verfahrenskosten auf- zuerlegen (Art. 63 Abs. 2 VwVG).</w:t>
      </w:r>
    </w:p>
    <w:p>
      <w:r>
        <w:rPr>
          <w:b/>
        </w:rPr>
        <w:t>E. 8.2</w:t>
      </w:r>
    </w:p>
    <w:p>
      <w:r>
        <w:t>Der obsiegende, anwaltlich vertretene Beschwerdeführer hat gemäss Art. 64 Abs. 1 VwVG in Verbindung mit Art. 7 des Reglements vom 21. Februar 2008 über die Kosten und Entschädigungen vor dem</w:t>
      </w:r>
    </w:p>
    <w:p>
      <w:r>
        <w:t>C-4982/2022 Seite 18 Bundesverwaltungsgericht (VGKE, SR 173.320.2) Anspruch auf eine Par- teientschädigung zu Lasten der Vorinstanz. Da keine Kostennote einge- reicht wurde, ist die Entschädigung aufgrund der Akten festzusetzen (Art. 14 Abs. 2 Satz 2 VGKE). Unter Berücksichtigung des Verfahrensaus- gangs, des gebotenen und aktenkundigen Aufwands, insbesondere des dreifachen Schriftenwechsels, der Bedeutung der Streitsache und der Schwierigkeit des vorliegend zu beurteilenden Verfahrens ist eine Partei- entschädigung von Fr. 3'000.– (inkl. Auslagen, ohne Mehrwertsteuer [vgl. dazu auch Urteil des Bundesverwaltungsgerichts C-6173/2009 vom 29. August 2011 mit Hinweis]) gerechtfertigt.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