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C-4977/2010 vom 15. März 2011</w:t>
      </w:r>
    </w:p>
    <w:p>
      <w:r>
        <w:t>Bundesverwaltungsgericht, 2011-03-15, IT</w:t>
      </w:r>
    </w:p>
    <w:p>
      <w:r>
        <w:rPr>
          <w:b/>
        </w:rPr>
        <w:t xml:space="preserve">Quelle: </w:t>
      </w:r>
      <w:r>
        <w:t>https://mcp.opencaselaw.ch/entscheid/bvger_C-4977_2010</w:t>
      </w:r>
    </w:p>
    <w:p>
      <w:r>
        <w:t>FR: TAF C-4977/2010 du 15 mars 2011</w:t>
      </w:r>
    </w:p>
    <w:p>
      <w:r>
        <w:t>IT: TAF C-4977/2010 del 15 marzo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il caso d'assicurazione si realizza prima del 1° gennaio 2008, si applica il vecchio diritto; ciò significa che la persona assicurata può ancora presentare una domanda di prestazioni AI nei 12 mesi dopo l'insorgenza del diritto, senza subire la perdita di prestazioni (art. 48. cpv. 2 LAI; cfr. consid. 5). Se, di contro, il caso d'assicurazione sorge il 1° gennaio 2008 o dopo, è il nuovo diritto che si applica e, quindi, il diritto alla rendita si realizza dopo 6 mesi il deposito della domanda (art. 29 cpv. 1 LAI).</w:t>
      </w:r>
    </w:p>
    <w:p>
      <w:r>
        <w:rPr>
          <w:b/>
        </w:rPr>
        <w:t>E. 5</w:t>
      </w:r>
    </w:p>
    <w:p>
      <w:r>
        <w:t>Il ricorrente ha presentato la domanda di rendita l'8 febbraio 2008. In deroga all'art. 24 LPGA, l'art. 48 cpv. 2 LAI (nel suo tenore in vigore fino al 31 dicembre 2007) precisa che, se l'assicurato si annuncia più di 12 mesi dopo la nascita del diritto, le prestazioni possono essere assegnate soltanto per i 12 mesi precedenti la richiesta. In concreto, lo scrivente Tribunale amministrativo federale può quindi limitarsi ad esaminare se il ricorrente avesse diritto ad una rendita l'8 febbraio 2007 (ossia 12 mesi precedenti la presentazione della domanda), oppure se un diritto alla rendita sia sorto tra tale data ed il 9 giugno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Come risulta dal questionario compilato dall'ex datore di lavoro, l'interessato non ha più lavorato dopo il 30 novembre 2007. Il licenziamento è da imputare a ristrutturazione dell'azienda, egli era tuttavia già rimasto assente dal lavoro per malattia dall'8 gennaio al 15 marzo 2007, ha lavorato al 50% fino al 31 ottobre 2007 ed è di nuovo rimasto assente fino alla data del licenziamento effettivo. Il nominato svolgeva la sua mansione d'impiegato d'ufficio in una ditta di grossisti alimentari. Nel passato egli ha assunto mansioni di responsabilità nell'ambito di ditte dello stesso ramo (cfr. conti individuali e curriculum vitae).</w:t>
      </w:r>
    </w:p>
    <w:p>
      <w:r>
        <w:rPr>
          <w:b/>
        </w:rPr>
        <w:t>E. 8.2</w:t>
      </w:r>
    </w:p>
    <w:p>
      <w:r>
        <w:t>La nozione d'invalidità di cui all'art. 4 LAI e 8 LPGA è di carattere giuridico economico, non medico (DTF 116 V 249 consid. 1b). In base all'art. 16 LPGA, applicabile per il rinvio dell'art. 28 cpv. 2 LAI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lecito ritenere la diagnosi posta in evidenza dai sanitari del SAM di Bellinzona. Nella loro relazione del 5 gennaio 2009 gli esperti incaricati hanno evidenziato: "Diagnosi con influenza sulla capacità lavorativa: sindrome ansioso/depressiva con somatizzazioni d'ansia, miopia elevata, astigmatismo miopico bilaterale, ambliopia parziale, exanisometropia occhio destro, sindrome cervicovertebrale cronica intermittente in -alterazioni degenerative della colonna cervicale, tendenza fibromialgica, decondizionamento muscolare-, disturbi statici del rachide (appiattimento delle dorsale e della lombare, protrazione del capo, scoliosi sinistro convessa lombare). Diagnosi senza influenza sulla capacità di lavoro: Malattia coronarica trivasale con esiti di quintuplice bypass aortocoronarico del 14 aprile 1998, FRCV:ipertensione arteriosa, dislipidemia, famigliarità, adipositas, pregresso abuso nicotinico; fattori di rischio psicosociali con influsso prognostico negativo. Depressione-, cardiopatia ipertensiva, ectasia aorta ascendente, stato dopo nefrocapsulectomia destra e linfanedectomia loco regionale per adenocarcinoma a cellule chiare stadio II (T2 N2 MO), pregressa calcolosi renale, nota iperplasia prostatica benigna, obesità con BMI 32 Kg/M2." La documentazione medica esibita in sede di audizione e di ricorso non pone in evidenza ulteriori turbe di rilievo. Trattasi, più che altro, di un diverso approccio diagnostico delle patologie in corso (cfr., segnatamente, le certificazioni dei Dott.ri Meroni, medico di fiducia dell'assicurata, Corbetta, specialista in oftalmologia, Camboni, specialista in psichiatria, Compagnoni, specialista in cardiologia). In questo ambito emerge soprattutto la diagnosi del Dott. Camboni che si distingue da quella esposta dal SAM (Dott. Mari); l'esperto di parte rileva un grave disturbo dell'adattamento. Non è rilevante tuttavia dirimere eventuali divergenze diagnostiche in modo assoluto, dal momento che l'assicurazione per l'invalidità non indennizza la malattia in quanto tale, quanto piuttosto le incidenze invalidanti (incapacità di guadagno) di un complesso patologico sufficientemente inquadrato.</w:t>
      </w:r>
    </w:p>
    <w:p>
      <w:r>
        <w:rPr>
          <w:b/>
        </w:rPr>
        <w:t>E. 9.2</w:t>
      </w:r>
    </w:p>
    <w:p>
      <w:r>
        <w:t>Giova ricordare che le affezioni in oggetto debbono, dal profilo giuridico, essere esaminate alla luce dell'art. 29 cpv. 1 lett. b LAI (nelle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 pareri sono divergenti. L'amministrazione ha fatto eseguire una perizia approfondita al SAM di Bellinzona. Al proposito, va rilevato che una perizia richiesta dall'UAIE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10.2</w:t>
      </w:r>
    </w:p>
    <w:p>
      <w:r>
        <w:t>La perizia del SAM ha ritenuto che A._______ sia in grado di svolgere ancora il suo precedente lavoro oppure attività leggere e/o semisedentarie in misura del 60% (incapacità lavorativa 40%). Va subito rilevato che il rapporto finale contiene un errore di scrittura nelle considerazioni finali (vedi pag. 13 ultimo paragrafo della perizia del 5 gennaio 2009). I medici di tale istituto riportano una capacità lavorativa globale del 40%, quando invece intendevano manifestamente indicare una capacità residua del 60%. Il grado di capacità del 40% sarebbe infatti in contraddizione con tutte le altre perizie specifiche del SAM e con quanto riportato nei primi paragrafi della pagina 13 della perizia. Le censure del Patronato INAS fondate su tale errore di scrittura sono quindi da respingere.</w:t>
      </w:r>
    </w:p>
    <w:p>
      <w:r>
        <w:rPr>
          <w:b/>
        </w:rPr>
        <w:t>E. 10.3.1</w:t>
      </w:r>
    </w:p>
    <w:p>
      <w:r>
        <w:t>Dalla perizia del SAM si evince quanto segue. Prendendo in considerazione le varie patologie che affliggono l'assicurato, si rileva dal punto di vista reumatologico (Dott. Christen) che l'assicurato presenta da diverso tempo dolori cervicali in aumento sull'arco della giornata ed in diverse posizioni; la mobilità della colonna cervicale, in protrazione del capo, appare moderatamente limitata alle rotazioni globali bilaterali con dolori a fine corsa, mentre la flessione, estensione e lateroflessioni passive bilaterali sono libere; sono assenti deficit cervicoradicolari. Anche la posizione seduta per un lungo periodo causa dei dolori. La mobilità della colonna lombare risulta moderatamente limitata alle lateroflessioni bilaterali, mentre la flesso/estensione risulta libera; sono assenti deficit lomboradicolari, come pure sinoviti e tendo-sinoviti alle articolazioni superiori ed inferiori. Il paziente è tendenzialmente fibromialgico. L'esperto del SAM valuta al 90% la capacità di lavoro dell'interessato nel suo ultimo lavoro ed al cento per cento in attività più consone (soprattutto per quel che attiene posizioni da tenere e trasporto pesi). In sede di audizione o ricorsuale non sono stati posti elementi diagnostici e valutativi differenti per quel che concerne la problematica ortopedica che, tutto sommato, non appare limitante nell'ambito di attività semileggere più o meno sedentarie.</w:t>
      </w:r>
    </w:p>
    <w:p>
      <w:r>
        <w:rPr>
          <w:b/>
        </w:rPr>
        <w:t>E. 10.3.2</w:t>
      </w:r>
    </w:p>
    <w:p>
      <w:r>
        <w:t>Dal lato cardiologico (Dott. Sartori), è vero che il paziente ha subito un delicato intervento chirurgico nel 1998. Tuttavia egli ha poi lavorato, anche in settori con responsabilità, fino al 2007. Gli esami eseguiti presso il SAM hanno permesso di accertare che la malattia coronarica è ben compensata. A._______ ha raggiunto, alla prova al cicloergometro, il carico di ben 200 Watt senza segni di ischemia residua od altri tipi di insufficienza cardiaca. Eventuali dolori retro sternali da lui riferiti non sono da imputare ad anomalie cardiache, quanto piuttosto ad un processo fibromialgico sopra descritto. Tuttavia, in questo ambito, entrano altri fattori che possono rappresentare un rischio di notevole peggioramento della situazione valetudinaria. Il Dott. Compagnoni (cardiologo) accenna al sovraccarico psichico nell'ambito di attività pur fisicamente leggere (consigliata attività lavorativa con caratteristiche non psicologicamente pressanti). Per il resto, gli esami presentati dal cardiologo di parte sono sovrapponibili a quelli rilevato dal Dott. Sartori (test da sforzo fino a 180 Watt, assenza di anomalie ischemiche, classe funzionale NYHA I/II).</w:t>
      </w:r>
    </w:p>
    <w:p>
      <w:r>
        <w:rPr>
          <w:b/>
        </w:rPr>
        <w:t>E. 10.3.3</w:t>
      </w:r>
    </w:p>
    <w:p>
      <w:r>
        <w:t>Sotto il profilo oftalmologico (Dott.ssa Anastasi-Forni) A._______ è miope fin dall'adolescenza, ma, in questi ultimi anni, l'acuità visiva è peggiorata sotto diverse forme patologiche, soprattutto dal gennaio 2007. L'acuità visita, una volta corretta, è tuttavia ancora buona, ma la stessa esperta afferma che il paziente non può lavorare per 8 ore davanti ad un terminale e che lo stesso può essere integrato in un'altra professione meno impegnativa dal punto di vista dell'acuità visiva.</w:t>
      </w:r>
    </w:p>
    <w:p>
      <w:r>
        <w:rPr>
          <w:b/>
        </w:rPr>
        <w:t>E. 10.3.4</w:t>
      </w:r>
    </w:p>
    <w:p>
      <w:r>
        <w:t>Per quanto riguarda la patologia psichiatrica (Dott. Mari), ossia quella che più presenta ostacoli per la capacità di lavoro del nominato, va osservato quanto segue. L'insorgente ha sempre assunto impegni di qualità e di responsabilità (si veda in particolare il curriculum vitae). Malgrado fatti patologici di sicuro rilevo, come il tumore ad un rene nel 1990 ed un quintuplice bypass aortocoronarico nel 1998 ed un visus costantemente scarso e difettoso, l'insorgente ha potuto continuare a svolgere un'attività lucrativa. La diminuzione del visus a partire dal gennaio 2007, con il conseguente quadro ansiodepressivo accompagnato da somatizzazioni multiple, ha messo in evidenza uno scompenso psicologico. Ora, il Dott. Mari ritiene un'incapacità lavorativa del 40% in qualunque attività professionale. La descrizione clinica dell'esperto SAM coincide con quella espressa dal Dott. Camboni, psichiatra di parte.</w:t>
      </w:r>
    </w:p>
    <w:p>
      <w:r>
        <w:rPr>
          <w:b/>
        </w:rPr>
        <w:t>E. 10.4</w:t>
      </w:r>
    </w:p>
    <w:p>
      <w:r>
        <w:t>Alla luce di queste considerazioni, questo collegio giudicante può condividere il parere del SAM almeno per quanto riguarda le attività di sostituzione che sarebbero esigibili al 60%. Questa autorità di ricorso ritiene che l'assicurato presenti un'incapacità lavorativa del 40% in attività di sostituzione leggere e/o semisendentarie, non stressanti, che non richiedano un'acuità visiva accentuata, rispettose anche delle indicazioni formulate dall'esperto ortopedico Dott. Christen circa posizioni da evitare, pesi limite da trasportare. Si tratta di attività semplici, sovente ripetitive, in ambienti puliti, dove il dipendente ha possibilità di fare pause frequenti. L'attività al 60% non significa che l'insorgente debba lavorare per soli tre giorni la settimana. Essa può e deve essere intesa come rendimento, ossia, per esempio, con la presenza sull'arco dell'intera giornata, ma con rendimento ridotto. Il precedente lavoro di impiegato d'ufficio presso un grossista non è invece verosimilmente più esigibile, o perlomeno in misura del 60% come ritenuto dall'amministrazione. Il datore di lavoro ha indicato come questo lavoro comportava un'alta dose di stress (vedi questionario compilato il 4 marzo 2007). Ora, più relazioni sanitarie, come quella dei Dott.ri Mari e Camboni, indicano che l'interessato non è più in grado di lavorare sotto stress. Tale circostanza è del resto confermata sul piano cardiologico dal momento che sia il Dott. Sartori che il Dott. Compagnoni rendono attenti sui fattori di rischio dovuti allo stress. Vista l'impossibilità di riprendere l'attività precedentemente svolta, è necessario procedere ad un raffronto dei redditi prima e dopo l'invalidità (vedi consid. 7.2). Del resto, secondo la giurisprudenza (sentenze del TF 9C_310/2009 del 14 aprile 2010 consid. 3.2 et 8C_294/2008 del 2 dicembre 2008) è possibile rinunciare a un raffronto dei redditi solo quando il precedente lavoro è considerato ancora accessibile (p. es. il contratto di lavoro non è stato disdetto) e quando questa attività offre delle migliori condizioni di reintegrazione (salario precedente l'invalidità più favorevole di quello dopo l'insorgenza dell'invalidità). Ora, la prima di queste condizioni non è adempiuta nella fattispecie vista la disdetta del contratto di lavoro.</w:t>
      </w:r>
    </w:p>
    <w:p>
      <w:r>
        <w:rPr>
          <w:b/>
        </w:rPr>
        <w:t>E. 10.5</w:t>
      </w:r>
    </w:p>
    <w:p>
      <w:r>
        <w:t>Vero è che la ricerca di un posto di lavoro adatto alle capacità dell'interessato appare difficoltosa, vista la sua età (nel 2007, anno di riferimento, ha 58 anni),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Secondo il questionario per il datore di lavoro (vedi anche il rapporto del CIP del 28 dicembre 2009), l'insorgente, senza danni alla salute, potrebbe guadagnare, nella ditta ex datrice di lavoro Fr. 68'055.- in un anno (13 mensilità). Questi dati si riferiscono al 2006. Non è da ritenere l'importo preteso dall'insorgente in Fr. 71'655.-. Infatti, tale importo è comprensivo di 300.- franchi al mese di spese fisse (Fr. 3'600.- all'anno + Fr 68'065.- = Fr. 71'665.-) che, di tutta evidenza, non possono essere considerate come una retribuzione. In proposito, la circolare sull'invalidità dell'UFAS (CII AI, cifra 3027) stabilisce che non si deve tenere conto delle spese accessorie aggiunte al salario, spese a carico del datore di lavoro e che non sono sottoposte a contribuzione AVS/AI (RCC 1986 p. 432). Il reddito da valido del 2006 deve essere aggiornato al 2008, anno in cui sorgerebbe il diritto alla rendita AI. L'indice dei salari nominali, per categoria, è aumentato dell'1,5% per il 2007 e del 2,6% nel 2008, il che comporta un reddito precedente l'invalidità di Fr. 70'819,72 (anno 2008).</w:t>
      </w:r>
    </w:p>
    <w:p>
      <w:r>
        <w:rPr>
          <w:b/>
        </w:rPr>
        <w:t>E. 11.3.1</w:t>
      </w:r>
    </w:p>
    <w:p>
      <w:r>
        <w:t>Quale reddito da invalido si deve ritenere quello statistico ottenibile in attività di tipo leggero non qualificate, ripetitive. Queste attività comportano un salario medio mensile di Fr. 4'806.- nel 2008, pari a Fr. 57'672.- annuali (valori dell'UFS, tabella TA1, livello 4, uomini). Questo importo deve essere adeguato secondo un orario settimanale di 41.6 medio svizzero, ciò che permette di ottenere Fr. 59'978.88 (le tabelle sono fondate su di un orario standardizzato di 40 ore). L'Ufficio AI cantonale ha ritenuto lo stesso dato.</w:t>
      </w:r>
    </w:p>
    <w:p>
      <w:r>
        <w:rPr>
          <w:b/>
        </w:rPr>
        <w:t>E. 11.3.2</w:t>
      </w:r>
    </w:p>
    <w:p>
      <w:r>
        <w:t>Questo introito teorico può essere ridotto per tenere conto dei fattori personali dell'assicurato (DTF 126 V 75), quali età, handicap. La riduzione massima ammessa è del 25%. L'amministrazione ha operato una deduzione di solo il 3%, ciò che può essere criticato. Vero è che gli uffici AI godono, in questo ambito, di un ampio margine d'apprezzamento che il giudice può rivedere solo in casi eccezionali. Nel caso in esame, tuttavia, una riduzione del 3% appare manifestamente insufficiente. Il ricorrente, 59enne nel 2008, anno in cui sorge l'evento assicurabile, è portatore di un insieme di handicap (acuità visiva ridotta, difficoltà di adattamento, posizione di lavoro limitanti e ridotta capacità di porto pesi, ecc.) che riducono la sua capacità di guadagno. Inoltre, il Tribunale federale ha già avuto l'occasione di ricordare che se un'attività di sostituzione può essere esercitata solo a tempo parziale è legittimo procedere ad una riduzione supplementare (sentenza 9C_708/2009 del 19 novembre 2009 pubblicata in SVR 2010 IV n° 28 consid. 2.1.1), che nel caso specifico può essere fissata al 15%. Ne consegue un introito dopo l'insorgenza dell'invalidità con attività al cento per cento di Fr. 50'982.30. Svolta al 60% l'attività di sostituzione comporta un reddito di Fr. 30'589.23.</w:t>
      </w:r>
    </w:p>
    <w:p>
      <w:r>
        <w:rPr>
          <w:b/>
        </w:rPr>
        <w:t>E. 11.4</w:t>
      </w:r>
    </w:p>
    <w:p>
      <w:r>
        <w:t>Il confronto fra un reddito privo d'invalidità di Fr. 70'819.72.- ed un introito teorico dopo l'insorgenza dell'invalidità di Fr. 30'588.78 causa una perdita di guadagno del 56.80%, grado che giustifica il riconoscimento del diritto ad una mezza rendita AI. Va rilevato, a titolo abbondanziale, che il grado d'invalidità non attingerebbe il livello del 60% (diritto ai tre quarti di rendita), nemmeno se si dovesse considerare una riduzione del reddito dopo l'insorgenza dell'invalidità per fattori personali del 20% (tasso del 59.34%). In queste circostanze, il ricorso deve essere parzialmente accolto e l'impugnata decisione riformata, nel senso che A._______ ha diritto alla mezza rendita dell'assicurazione svizzera per l'invalidità a decorrere dal 1° gennaio 2008.</w:t>
      </w:r>
    </w:p>
    <w:p>
      <w:r>
        <w:rPr>
          <w:b/>
        </w:rPr>
        <w:t>E. 12.1</w:t>
      </w:r>
    </w:p>
    <w:p>
      <w:r>
        <w:t>Non si prelevano spese processuali e l'anticipo di Fr. 300.-, fornito dall'insorgente il 18 ottobre 2010, gli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e di replica, nonché la documentazione esibita, si giustifica riconoscere alla parte ricorrente un'indennità per spese ripetibili di Fr. 900.-, la quale è posta a carico dell'Ufficio AI intimato.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