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C-4975/2010 vom 26. Januar 2012</w:t>
      </w:r>
    </w:p>
    <w:p>
      <w:r>
        <w:t>Bundesverwaltungsgericht, 2012-01-26, FR</w:t>
      </w:r>
    </w:p>
    <w:p>
      <w:r>
        <w:rPr>
          <w:b/>
        </w:rPr>
        <w:t xml:space="preserve">Quelle: </w:t>
      </w:r>
      <w:r>
        <w:t>https://mcp.opencaselaw.ch/entscheid/bvger_C-4975_2010</w:t>
      </w:r>
    </w:p>
    <w:p>
      <w:r>
        <w:t>FR: TAF C-4975/2010 du 26 janvier 2012</w:t>
      </w:r>
    </w:p>
    <w:p>
      <w:r>
        <w:t>IT: TAF C-4975/2010 del 26 gennaio 2012</w:t>
      </w:r>
    </w:p>
    <w:p>
      <w:pPr>
        <w:pStyle w:val="Heading2"/>
      </w:pPr>
      <w:r>
        <w:t>Regeste</w:t>
      </w:r>
    </w:p>
    <w:p>
      <w:r>
        <w:t>Révision de la rente</w:t>
      </w:r>
    </w:p>
    <w:p>
      <w:pPr>
        <w:pStyle w:val="Heading2"/>
      </w:pPr>
      <w:r>
        <w:t>Erwägungen</w:t>
      </w:r>
    </w:p>
    <w:p>
      <w:r>
        <w:rPr>
          <w:b/>
        </w:rPr>
        <w:t>E. 2</w:t>
      </w:r>
    </w:p>
    <w:p>
      <w:r>
        <w:t>Préalablement, on note que le présent arrêt de cassation rend en principe sans objet la demande de restitution de l'effet suspensif déposée par le recourant (cf. arrêt du Tribunal fédéral 8C_254/2011 du 7 juillet 2011 consid. 2; André Moser/Michael Beusch/Lorenz Kneubühler, Prozessieren vor dem Bundesverwaltungsgericht, Bâle 2008, p. 118 note 91; JAAC 60.6 consid. 3). Dans ce contexte, on rappellera par ailleurs que le Tribunal fédéral a récemment confirmé la jurisprudence initiée à l'ATF 106 V 18 et corroborée à l'ATF 129 V 370, selon laquelle le retrait de l'effet suspensif survenant dans le cadre de la suppression ou de la diminution d'une rente ou d'une allocation pour impotent décidée par voie de révision couvre la période d'instruction complémentaire prescrite par renvoi de l'autorité de recours jusqu'à la notification de la nouvelle décision sous réserve d'une éventuelle ouverture anticipée potentiellement abusive de la procédure de révision (arrêt du Tribunal fédéral 9C_288/2010 du 22 décembre 2010 consid. 4 et les références). Or, in casu, il n'apparaît pas qu'il y ait eu une ouverture potentiellement abusive de la procédure de révision.</w:t>
      </w:r>
    </w:p>
    <w:p>
      <w:r>
        <w:rPr>
          <w:b/>
        </w:rPr>
        <w:t>E. 3</w:t>
      </w:r>
    </w:p>
    <w:p>
      <w:r>
        <w:t>Dans un premier grief, l'assuré remet en cause la compétence de l'OAIE pour prononcer la décision dont est recours.</w:t>
      </w:r>
    </w:p>
    <w:p>
      <w:r>
        <w:rPr>
          <w:b/>
        </w:rPr>
        <w:t>E. 3.1</w:t>
      </w:r>
    </w:p>
    <w:p>
      <w:r>
        <w:t>Selon lui, contrairement à ce qui a été retenu par le Tribunal cantonal des assurances du canton de Genève dans l'arrêt du 6 mai 2009, le lieu où il focalise le maximum d'éléments concernant sa vie personnelle, sociale ou professionnelle, se trouve en Suisse. Comme indice, il mentionne qu'il réside sur le territoire du canton de Genève depuis 1994, qu'il est imposé à Genève, qu'il paie ses cotisations d'assurance maladie à une compagnie d'assurance suisse et qu'il est suivi par la Dresse C._______, praticienne exerçant à Genève (pce TAF 1 p. 4 let. D). Ainsi, si ses enfants et son épouse sont domiciliés au Portugal, il passerait la plus grande partie de son temps à Genève soit plus de la moitié de l'année (pce TAF 1 p. 5 chif. 2). Le représentant de l'assuré précise encore ce qui suit: "Son intention est toujours de demeurer à Genève où il a l'intention de s'établir. Ce sont ses problèmes de santé qui ont conduit le recourant à demeurer à Genève et son épouse a décidé d'éduquer les enfants au Portugal dans la maison de son épouse. L'intention de s'établir demeure néanmoins à Genève" (pce TAF 1 p. 6).</w:t>
      </w:r>
    </w:p>
    <w:p>
      <w:r>
        <w:rPr>
          <w:b/>
        </w:rPr>
        <w:t>E. 3.2</w:t>
      </w:r>
    </w:p>
    <w:p>
      <w:r>
        <w:t>Selon les dispositions topiques, la compétence en raison du lieu des offices AI se détermine en fonction du domicile de l'assuré (art. 55 al. 1 LAI), l'OAIE étant compétent pour les assurés domiciliés à l'étranger (art. 40 al. 2 let. b RAI). La procédure de révision est menée par l'office AI qui, à la date du dépôt de la demande en révision ou à celle du réexamen du cas, est compétent pour connaître de l'affaire (art. 88 al. 1 RAI). Une fois la compétence d'un office AI donnée, celle-ci reste la même pendant toute la durée de la procédure nonobstant un éventuel changement de domicile subséquent de l'assuré (art. 40 al. 3 RAI; cf. arrêt du Tribunal fédéral 8C_956/2010 du 20 avril 2011 consid. 2.1; arrêt du Tribunal administratif fédéral C-2747/2010 du 21 janvier 2011).</w:t>
      </w:r>
    </w:p>
    <w:p>
      <w:r>
        <w:rPr>
          <w:b/>
        </w:rPr>
        <w:t>E. 3.3</w:t>
      </w:r>
    </w:p>
    <w:p>
      <w:r>
        <w:t>En l'occurrence, le Tribunal des assurances sociales du canton de Genève a jugé, par arrêt du 6 mai 2009 entré en force, que l'assuré avait élu domicile au Portugal pour le moins lors de l'ouverture de la procédure de révision de rente en juillet 2006 et que cette situation avait perduré jusqu'au prononcé du jugement. Devant cette instance cantonale, l'intéressé avait expressément confirmé cet état des faits (doc 100 p. 2 let. A, 106) et même produit des moyens de preuve y afférents (notamment une déclaration de son beau-père attestant d'un domicile de l'assuré avec son épouse et ses enfants au Portugal [doc 107 p. 4]). Dans la mesure où, dans le cadre de la présente procédure, le recourant remet en question le jugement précité du 6 mai 2009 devant le Tribunal administratif fédéral, il y a donc lieu de conclure que son argumentation outre le fait qu'elle va à l'encontre d'un arrêt entré en force et qu'elle n'est nullement étayée par des moyens de preuve idoines est manifestement contradictoire et ne saurait être protégée comme le relève à juste titre l'administration (cf. à ce sujet arrêt du Tribunal fédéral 8C_927/2010 du 13 septembre 2011 consid. 7; Ulrich Häfelin/Georg Müller/Felix Uhlmann, Allgemeines Verwaltungsrecht, 6ème éd., Zürich St. Gallen 2010 p. 161 n° 712 ss). On rappellera que le principe de la bonne foi ne lie pas seulement les organes de l'état mais également les administrés (art. 5 al. 3 Cst.). Il s'ensuit qu'au plus tard en juillet 2006, date de l'ouverture formelle de la procédure de révision, l'OAIE était compétent pour traiter du cas et qu'un éventuel changement de domicile postérieur de l'assuré n'était plus de nature à remettre en cause cette attribution des compétences (cf. supra consid. 3.2).</w:t>
      </w:r>
    </w:p>
    <w:p>
      <w:r>
        <w:rPr>
          <w:b/>
        </w:rPr>
        <w:t>E. 4</w:t>
      </w:r>
    </w:p>
    <w:p>
      <w:r>
        <w:t>Dans un deuxième moyen, l'assuré fait grief à l'autorité inférieure d'avoir remplacé sa rente entière d'invalidité par une demi-rente, alors que la documentation médicale versée à la cause ne permettrait pas d'aboutir à une telle conclusion.</w:t>
      </w:r>
    </w:p>
    <w:p>
      <w:r>
        <w:rPr>
          <w:b/>
        </w:rPr>
        <w:t>E. 4.1</w:t>
      </w:r>
    </w:p>
    <w:p>
      <w:r>
        <w:t>Il appert que cette argumentation est tout à fait fondée comme le reconnait lui-même l'OAIE dans son mémoire du 9 septembre 2011 (pces TAF 11 p. 1-3). En effet, il y a lieu de reprocher à l'autorité inférieure de s'être fondée uniquement sur l'avis d'un spécialiste en chirurgie plastique reconstructive et esthétique et en chirurgie de la main pour diminuer les prestations à l'égard de l'intéressé, quand bien même le praticien précité retenait lui-même que les affections du recourant étaient avant tout d'ordre psychiatrique et que, de surcroît, toujours selon ce médecin, l'avis d'un orthopédiste devait être recueilli pour juger du caractère incapacitant des dorsalgies alléguées par l'assuré (sur l'importance de la qualification des médecins cf. entre autres arrêts du Tribunal fédéral 9C_736/2009 du 26 janvier 2010 consid. 2.1 et les références; 9C_699/2009 du 24 février 2010 consid. 4.4 s.; arrêt du Tribunal administratif fédéral C-2169/2008 du 9 août 2010 consid. 3.3). Le caractère incomplet de l'instruction est également corroboré par la prise de position du SMR du 1er septembre 2011 (pce TAF 11 p. 4) dans laquelle la Dresse D._______ retient que l'atteinte au rachis de l'assuré n'a à tort pas été examinée avant le prononcé de l'acte attaqué et qu'il convenait également de vérifier si l'assuré était effectivement en mesure de mettre en valeur sa capacité de travail résiduelle. Au demeurant, il sied de relever que, lors du dernier examen matériel du droit aux prestations, la rente entière de l'assuré avait été confirmée sur la base d'une expertise pluridisciplinaire du 13 mai 2002 (doc 59 et 63). Dans ce document, les experts retenaient que le syndrome somatoforme douloureux persistant dominait le tableau clinique de l'intéressé et que, selon le modèle bio-psycho-social, il convenait de retenir une capacité de travail de l'ordre de 40 à 50% dans un travail adapté (doc 59 p. 25 et 27), étant précisé que, d'un point de vue uniquement rhumatologique, la capacité de travail dans une activité de substitution était évaluée à 80% (doc 59 p. 28 n° 1; voire aussi p. 19). Or, on note que l'assuré n'a plus été examiné par un psychiatre depuis plus de 9 ans (sur la nécessité de l'avis d'un tel spécialiste en présence d'un trouble somatoforme cf. ATF 130 V 352 consid. 2.2.2). Au vu de l'ensemble de ces éléments, l'autorité inférieure ne pouvait manifestement pas juger valablement de l'état de santé et de la capacité de travail de l'assuré lors du prononcé de l'acte entrepris. On précisera que le rapport succinct du Dr B._______ du 28 mars 2008 (doc 86 p. 2-4) selon lequel la symptomatologie au poignet est compatible avec l'exercice d'une activité adaptée à temps complet avec une réduction de rendement d'environ 50% ne permet pas sans autre de conclure que l'assuré présente pour le moins une incapacité de travail de 50% dans un travail adapté, d'autant que ce document ne fait pas part d'une évolution défavorable des troubles au poignet depuis 2002 et que, comme on l'a vu, l'expertise pluridisciplinaire du 13 mai 2002 retenait, sur le plan uniquement somatique, une incapacité de travail de l'ordre de 20% dans une activité de substitution. Compte tenu de ces divergences et des particularités du cas, une prise de position circonstanciée en la matière s'avère donc indispensable et il convient de mettre en oeuvre une expertise pluridisciplinaire pour faire toute la lumière sur ce point.</w:t>
      </w:r>
    </w:p>
    <w:p>
      <w:r>
        <w:rPr>
          <w:b/>
        </w:rPr>
        <w:t>E. 4.2</w:t>
      </w:r>
    </w:p>
    <w:p>
      <w:r>
        <w:t>L'art. 61 al. 1 PA autorise, bien qu'exceptionnellement, à renvoyer la cause à l'autorité inférieure avec des instructions impératives, notamment lorsqu'elle n'a nullement instruit une question déterminante pour l'examen du droit aux prestations (ATF 137 V 210 consid. 4.4.1.4). En l'espèce, le renvoi se justifie, dès lors que, comme mentionné ci-dessus, l'atteinte psychiatrique et l'affection au rachis ont été complètement négligées par l'administration dans la présente procédure de révision, de sorte qu'au niveau médical, l'instruction était manifestement insuffisante sur deux points déterminants. Par ailleurs, suite à la prise de position du SMR du 1er septembre 2011 (cf. supra consid. 4.1), il paraît également indispensable que l'autorité inférieure se détermine sur la nécessité de procéder à d'éventuelles mesures de réadaptation dans la présente affaire (sur la jurisprudence y relative cf. arrêt du Tribunal fédéral 9C_228/2010 du 26 avril 2011 consid. 3.3).</w:t>
      </w:r>
    </w:p>
    <w:p>
      <w:r>
        <w:rPr>
          <w:b/>
        </w:rPr>
        <w:t>E. 4.3</w:t>
      </w:r>
    </w:p>
    <w:p>
      <w:r>
        <w:t>Il sied donc à l'instar de ce que demande l'autorité inférieure dans son mémoire du 9 septembre 2011 (pce TAF 11 p. 1-3) et le recourant dans ses conclusions subsidiaires de renvoyer la cause à l'administration pour instruction complémentaire comprenant notamment la réalisation d'une expertise pluridisciplinaire avec pour le moins le concours d'un spécialiste des affections de la main, d'un orthopédiste et d'un psychiatre. Le cas échéant, et compte tenu de l'évolution de l'état de santé du recourant dans le temps, l'autorité veillera également à procéder à toute autre mesure utile pour déterminer valablement la capacité de travail effective du recourant dans la période déterminante. Par ailleurs, cas échéant, elle se déterminera sur l'éventuelle nécessité de mettre en oeuvre des mesures de réorientation professionnelle dans la présente affaire. L'ensemble du dossier sera par la suite soumis au service médical de l'administration pour examen. Enfin, une nouvelle décision sera prise, après qu'un préavis ait été prononcé conformément à l'art. 57a LAI.</w:t>
      </w:r>
    </w:p>
    <w:p>
      <w:r>
        <w:rPr>
          <w:b/>
        </w:rPr>
        <w:t>E. 4.4</w:t>
      </w:r>
    </w:p>
    <w:p>
      <w:r>
        <w:t>Cela étant, il sied encore de relever, par surabondance, que le jugement du Tribunal cantonal du 6 mai 2009 retenait clairement que l'assuré était domicilié à l'étranger (au Portugal) depuis le début de la procédure de révision, si bien que l'OAIE était compétent. Dans ces conditions, on voit mal sur quelle base légale l'autorité inférieure s'est fondée pour laisser l'OAI GE se prononcer matériellement (cf. doc 130 p. 1; pces TAF 5 p. 3 ss; TAF 11 p. 3) et se limiter à notifier les actes établis par l'Office cantonal comme dans les affaires concernant les frontaliers (cf. art. 40 al. 2 RAI). En effet, le Tribunal fédéral a insisté sur le fait que les assurés ayant un domicile à l'étranger avait un droit à ce que leur cas soit traité par l'OAIE, plus apte à mettre en oeuvre les mesures d'instruction qui s'imposent dans un cadre international (cf. arrêt I 8/02 du 16 juillet 2002 consid. 2.4). Vu l'issue de la cause, il n'y a toutefois pas lieu de se prononcer plus avant sur les conséquences d'un éventuel manquement à ce titre. L'OAIE veillera cependant à changer sa manière de faire dans la procédure subséquente respectivement à dûment motiver pour quelles raisons il continuerait à ne pas procéder lui-même à l'examen matériel de la cause.</w:t>
      </w:r>
    </w:p>
    <w:p>
      <w:r>
        <w:rPr>
          <w:b/>
        </w:rPr>
        <w:t>E. 5.1</w:t>
      </w:r>
    </w:p>
    <w:p>
      <w:r>
        <w:t>Savoir dans quelle mesure une partie succombe se détermine avant tout à l'aune des conclusions mentionnées dans le recours, indépendamment de l'ordre dans lequel celles-ci sont présentées ou de la distinction entre des conclusions principales et subsidiaires (Moser/Beusch/Kneubühler, op. cit., Bâle 2008 p. 207 n° 4.43; Michael Beusch, in: Christoph Auer/Markus Müller/Benjamin Schindler, Kommentar zum Bundesgesetz über das Verwaltungsverfahren, Zurich Saint-Gall 2008, p. 807 n° 13). En l'occurrence, il appert que l'assuré a été débouté quant à son grief concernant l'incompétence de l'OAIE et a obtenu gain de cause concernant le renvoi de l'affaire à l'autorité inférieure pour complément d'instruction, étant relevé, concernant ce deuxième grief, que la jurisprudence assimile l'annulation de l'acte attaqué pour instruction complémentaire à un gain de cause total pour la partie recourante (ATF 132 V 215 consid. 6.2). Comme le relève à juste titre l'assuré (pce TAF 15 p. 3), le renvoi de la cause à l'administration apparaît être prépondérant dans la présente affaire. Dans ces circonstances, il se justifie de considérer que le recourant a obtenu gain de cause à raison de cinq sixièmes.</w:t>
      </w:r>
    </w:p>
    <w:p>
      <w:r>
        <w:rPr>
          <w:b/>
        </w:rPr>
        <w:t>E. 5.2</w:t>
      </w:r>
    </w:p>
    <w:p>
      <w:r>
        <w:t>Au regard de l'issue du litige, des frais de procédure réduits (l'intéressé ayant succombé sur la question de l'incompétence à statuer de l'OAIE) devraient être mis à la charge du recourant. Toutefois, compte tenu des circonstances particulières du cas, il est renoncé à titre exceptionnel à mettre des frais de procédure à sa charge (art. 6 let. b du règlement du 21 février 2008 concernant les frais, dépens et indemnités fixées par le Tribunal administratif fédéral [FITAF, RS 173.320.2]), étant relevé que ceux-ci auraient de toute façon été minimes, le recourant ayant obtenu gain de cause à raison de cinq sixièmes (cf. supra consid. 5.1 in fine).</w:t>
      </w:r>
    </w:p>
    <w:p>
      <w:r>
        <w:rPr>
          <w:b/>
        </w:rPr>
        <w:t>E. 5.3</w:t>
      </w:r>
    </w:p>
    <w:p>
      <w:r>
        <w:t>Vu l'issue de la procédure et compte tenu du fait que le recourant a agi en étant représenté par un mandataire professionnel, il lui est alloué une indemnité globale de dépens de Fr. 2'500.-, laquelle est fixée en fonction de l'importance et de la difficulté de la cause, ainsi que du travail qu'elle nécessite et du temps que le mandataire pouvait y consacrer (art. 64 al. 1 PA et art. 7 ss FITAF).</w:t>
      </w:r>
    </w:p>
    <w:p>
      <w:r>
        <w:rPr>
          <w:b/>
        </w:rPr>
        <w:t>E. 5.4</w:t>
      </w:r>
    </w:p>
    <w:p>
      <w:r>
        <w:t>Par conséquent, la demande d'assistance judiciaire est devenue sans objet dans la mesure où, d'une part, le recourant obtient gain de cause (renvoi de l'affaire à l'OAIE pour complément d'instruction et nouvelle décision) et, d'autre part, le Tribunal de céans renonce à percevoir des frais de procédure. Pour le surplus, cette demande est rejetée, l'autre grief soulevé par le recourant (portant sur l'absence de compétence de l'OAIE) étant a priori dépourvue de chance de succès (art. 65 al. 1 PA; arrêt du Tribunal fédéral 6B_266/2011 du 13 octobre 2011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