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C-4968/2010 vom 4. Dezember 2012</w:t>
      </w:r>
    </w:p>
    <w:p>
      <w:r>
        <w:t>Bundesverwaltungsgericht, 2012-12-04, FR</w:t>
      </w:r>
    </w:p>
    <w:p>
      <w:r>
        <w:rPr>
          <w:b/>
        </w:rPr>
        <w:t xml:space="preserve">Quelle: </w:t>
      </w:r>
      <w:r>
        <w:t>https://mcp.opencaselaw.ch/entscheid/bvger_C-4968_2010</w:t>
      </w:r>
    </w:p>
    <w:p>
      <w:r>
        <w:t>FR: TAF C-4968/2010 du 4 décembre 2012</w:t>
      </w:r>
    </w:p>
    <w:p>
      <w:r>
        <w:t>IT: TAF C-4968/2010 del 4 dicembre 2012</w:t>
      </w:r>
    </w:p>
    <w:p>
      <w:pPr>
        <w:pStyle w:val="Heading2"/>
      </w:pPr>
      <w:r>
        <w:t>Regeste</w:t>
      </w:r>
    </w:p>
    <w:p>
      <w:r>
        <w:t>Révision de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w:t>
      </w:r>
    </w:p>
    <w:p>
      <w:r>
        <w:t>Dans l'assurance-invalidité, des rentes ne sont octroyées à des assurés étrangers résidant à l'étranger que si cela est prévu dans un traité avec le pays concerné. En l'occurrence, le recourant est ressortissant du Kosovo et y a aujourd'hui son domicile. La Suisse a conclu de nouveaux traités de sécurité sociales avec divers Etats successeurs de l'ex-Yougoslavie, mais pas avec le Kosovo. Dans la présente procédure, selon la jurisprudence, la convention du 8 juin 1962 entre la Confédération suisse et la République populaire fédérative de Yougoslavie relative aux assurances sociales (RS 0.831.109.818.1) ainsi que l'arrangement administratif du 5 juillet 1963 concernant les modalités d'application de la convention relative aux assurances sociales entre la Confédération suisse et la République populaire fédérative de Yougoslavie (RS 0.831.109.818.12) restent applicables (cf. arrêt du Tribunal administratif fédéral C-4828/2010 du 7 mars 2011; ATF 126 V 198 consid. 2b, ATF 122 V 381 consid. 1 et ATF 119 V 98 consid. 3; cf. aussi art. 17 al. 2 lit. a de la convention).</w:t>
      </w:r>
    </w:p>
    <w:p>
      <w:r>
        <w:rPr>
          <w:b/>
        </w:rPr>
        <w:t>E. 4</w:t>
      </w:r>
    </w:p>
    <w:p>
      <w:r>
        <w:t>Dans ses écritures, le recourant a soulevé à diverses reprises le grief de la violation du droit d'être entendu, notamment en ce qui concerne la possibilité de participer au choix des experts.</w:t>
      </w:r>
    </w:p>
    <w:p>
      <w:r>
        <w:rPr>
          <w:b/>
        </w:rPr>
        <w:t>E. 4.1</w:t>
      </w:r>
    </w:p>
    <w:p>
      <w:r>
        <w:t>Le droit d'être entendu, droit à caractère formel inscrit à l'art. 29 al. 2 de la Constitution fédérale de la Confédération suisse du 18 avril 1999 (Cst., RS 101), dont la violation entraîne en principe l'annulation de la décision attaquée sans égard aux chances de succès du recours sur le fond (Andreas Auer/Giorgio Malinverni/Michel Hottelier, Droit constitutionnel suisse, vol. II, Les droits fondamentaux, 2e éd., Berne 2006, n. 1346; ATF 134 V 97), comprend le droit de s'exprimer, le droit de consulter le dossier, le droit de faire administrer des preuves et de participer à l'administration de celles-ci, le droit d'obtenir une décision motivée et le droit de se faire représenter ou assister (art. 26 à 33 et 35 PA; art. 42 et 52 al. 2 LPGA; André Grisel, Traité de droit administratif, Neuchâtel 1984, vol. I et II, p. 380 ss et 840 ss).</w:t>
      </w:r>
    </w:p>
    <w:p>
      <w:r>
        <w:rPr>
          <w:b/>
        </w:rPr>
        <w:t>E. 4.2</w:t>
      </w:r>
    </w:p>
    <w:p>
      <w:r>
        <w:t>Au-delà des garanties minimales de l'art. 29 al. 2 Cst., le droit de l'assuré de collaborer lors de la mise en oeuvre d'une expertise médicale dans la procédure d'instruction en matière d'assurances sociales est réglé à l'art. 44 LPGA. Ce dernier prévoit que lorsque l'administration confie un mandat à un expert indépendant, elle doit donner connaissance du nom de celui-ci aux parties. Celles-ci peuvent récuser l'expert pour des raisons pertinentes et présenter des contre-propositions. En l'espèce, l'OAIE a confié le mandat d'expertise aux Drs I._______ et J._______. Il s'avère dès lors que l'art. 44 LPGA s'applique à ce mandat d'expertise et que les droits de participation qu'il confère à l'intéressé doivent être respectés.</w:t>
      </w:r>
    </w:p>
    <w:p>
      <w:r>
        <w:rPr>
          <w:b/>
        </w:rPr>
        <w:t>E. 4.3</w:t>
      </w:r>
    </w:p>
    <w:p>
      <w:r>
        <w:t>Le Tribunal fédéral a jugé que lorsque le mandat d'expertise est confié à un centre d'expertise, le nom des experts appelés à collaborer concrètement à l'expertise, ainsi que leur spécialisation, doivent être communiqués préalablement à l'assuré, par l'Office AI s'il est en mesure de le faire au moment où il confie le mandat au COMAI, ou, plus tard, par ce dernier, mais de sorte à ce que l'intéressé puisse faire valoir ses objections éventuelles avant que n'ait lieu l'expertise (ATF 132 V 376). Si, à cet égard, la jurisprudence du Tribunal fédéral est demeurée constante (ATF 137 V 210 consid. 3.4.1.4), il n'en va pas de même du droit de l'assuré de s'exprimer préalablement sur les questions posées à l'expert par l'administration. En effet, avant l'entrée en vigueur de la LPGA, l'Office AI n'était pas tenu d'accorder à l'assuré un droit de participation lors de la formulation des questions posées aux experts; il suffisait, pour que la garantie minimale de l'art. 29 al. 2 Cst. soit respectée, que l'occasion soit donnée à l'assuré de s'exprimer sur l'expertise après que celle-ci a eu lieu. Après l'entrée en vigueur de la LPGA le 1er janvier 2003, le Tribunal fédéral a dans un premier temps confirmé cette solution, estimant que le droit de collaborer lors de la mise en oeuvre d'une expertise médicale dans la procédure d'instruction était réglé de manière exhaustive à l'art. 44 LPGA, en ce sens que la loi ne conférait pas à l'assuré le droit de s'exprimer préalablement sur les questions posées à l'expert par l'administration; les droits de la personne assurée étaient considérés comme préservés aussi longtemps que celle-ci pouvait, dans le cadre du droit d'être entendu, se prononcer sur le résultat de l'administration des preuves et demander l'administration de preuves pertinentes (ATF 133 V 446 consid. 7). Toutefois, dans son arrêt du 28 juin 2011, la Haute Cour a modifié sa jurisprudence et jugé qu'il convient dorénavant d'accorder à la personne assurée le droit de s'exprimer préalablement sur les questions posées aux experts. Par conséquent, les Offices AI doivent désormais, en même temps que le mandat d'expertise, soumettre à l'assuré pour prise de position le catalogue des questions qu'ils prévoient d'adresser aux experts (ATF 137 V 210 consid. 3.4.2, en particulier consid. 3.4.2.9).</w:t>
      </w:r>
    </w:p>
    <w:p>
      <w:r>
        <w:rPr>
          <w:b/>
        </w:rPr>
        <w:t>E. 4.4</w:t>
      </w:r>
    </w:p>
    <w:p>
      <w:r>
        <w:t>En l'espèce, le recourant ne peut soutenir qu'il n'a pas été régulièrement informé et consulté sur le choix des experts, puisque, bien avant l'expertise effectuée en août 2009, l'OAIE lui a communiqué le 20 avril 2009 le nom des deux experts (AI pce 128) et le 2 juin 2009 la date de l'expertise, le nom et la spécialité de chaque expert (AI pce 131). Ainsi, le recourant avait tout loisir, avant la tenue de l'expertise, de contester le choix fait par l'autorité inférieure à cet égard. S'agissant par contre des questions posées par l'OAIE aux Drs I._______ et J._______ dans le cadre de l'expertise qui leur a été confiée, il apparaît que celles-ci, figurant dans le mandat d'expertise du 20 avril 2009 remis aux experts, n'ont pas été communiquées au préalable au recourant, qui n'a pu ni se prononcer à leur sujet, ni formuler des questions complémentaires. On ne saurait toutefois reprocher à l'OAIE, qui ne pouvait les connaître, de ne pas avoir en l'occurrence respecter les exigences ressortant de la nouvelle jurisprudence du Tribunal fédéral, dans la mesure où ces exigences n'étaient pas encore applicables lorsque le mandat d'expertise a été confié aux Drs I._______ et J._______. En outre, le Tribunal fédéral a précisé, dans son arrêt du 28 juin 2011, que le principe selon lequel les nouvelles règles de procédure sont immédiatement applicables ne signifie pas que les expertises demandées avant le 28 juin 2011, comme en l'occurrence, ont perdu leur valeur probante (ATF 137 V 210 consid. 6).</w:t>
      </w:r>
    </w:p>
    <w:p>
      <w:r>
        <w:rPr>
          <w:b/>
        </w:rPr>
        <w:t>E. 4.5</w:t>
      </w:r>
    </w:p>
    <w:p>
      <w:r>
        <w:t>En l'espèce, il n'y a donc pas eu de violation du droit d'être entendu.</w:t>
      </w:r>
    </w:p>
    <w:p>
      <w:r>
        <w:rPr>
          <w:b/>
        </w:rPr>
        <w:t>E. 5</w:t>
      </w:r>
    </w:p>
    <w:p>
      <w:r>
        <w:t>Les expertises des Drs I._______ et J._______ étant en allemand, le recourant en a demandé la traduction en français. Elle lui a été refusée par le Tribunal de céans par décision incidente du 23 septembre 2010 (TAF pce 12), entrée en force. Or par actes des 16 février, 31 mai et 4 août 2011, le recourant, se référant à ses écritures antérieures, a maintenu l'ensemble de ses conclusions. Il sied de préciser à ce sujet que l'art. 33a PA ne confère que le droit de l'administré à ce que la procédure à laquelle il est partie soit conduite jusqu'à la décision rendue dans l'une des quatre langues officielles de son choix sans pour autant ouvrir le droit à la traduction des pièces du dossier rédigées dans une autre langue nationale (Michel Valterio, Droit de l'assurance-vieillesse et survivants (AVS) et de l'assurance-invalidité (AI), Zurich, n° 2976). Le droit d'être entendu ne confère pas au justiciable le droit d'obtenir la traduction des pièces du dossier rédigées dans une langue qu'il ne maîtrise pas ou de manière seulement imparfaite (ATF 131 V 35 consid. 3.3). La décision incidente du 23 septembre 2010 étant entrée en force, ce grief ne peut plus être examiné dans le présent arrêt.</w:t>
      </w:r>
    </w:p>
    <w:p>
      <w:r>
        <w:rPr>
          <w:b/>
        </w:rPr>
        <w:t>E. 6</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2008, sauf mention contraire. Ne sont en revanche pas applicables les dispositions de la 6ème révision de la LAI (premier volet) en vigueur dès le 1er janvier 2012 (RO 2011 5659, FF 2010 1647). En ce qui concerne les faits déterminant selon la jurisprudence, le Tribunal de céans doit se limiter à examiner la situation de fait existant jusqu'à la date de la décision attaquée (ATF 130 V 4450 consid. 1.2).</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7.2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9.1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9.2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9.3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9.4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10</w:t>
      </w:r>
    </w:p>
    <w:p>
      <w:r>
        <w:t>En l'espèce, le recourant a bénéficié d'une rente entière d'invalidité dès le 1er février 1991 suite à la décision de la Commission cantonale genevoise de recours en matière d'AVS du 7 mars 1996 (AI pce 48) qui a réformé la décision de l'OAIE-GE du 7 mars 1994 (AI pce 31). La décision de l'OAIE du 7 avril 1997 (AI pce 55) ne concerne que le calcul de la rente, elle exécute la décision de la Commission cantonale genevoise de recours en matière d'AVS du 7 mars 1996 et ne peut ainsi être retenue. De plus, le Tribunal de céans considère que la communication du 11 septembre 2001 (AI pce 82), par laquelle l'administration a informé l'assuré que son taux d'invalidité demeurait inchangé suite à un examen de son droit aux prestations, ne saurait être considérée comme une décision déterminante pour le point de départ de la comparaison des faits (sur la jurisprudence y relative cf. ATF 133 V 108 consid. 5.4; arrêt du Tribunal fédéral 9C_882/2010 du 25 janvier 2011 consid. 3), dès lors qu'elle n'a pas été éditée sur la base d'une instruction effectuée de manière conforme au droit. La question de savoir si le degré d'invalidité du recourant a subi une modification doit donc être jugée en comparant les faits tels qu'ils se présentaient le 7 mars 1996 (date de la décision de la Commission cantonale genevoise de recours en matière d'AVS) et ceux qui ont existé à la date de la décision litigieuse du 3 juin 2010.</w:t>
      </w:r>
    </w:p>
    <w:p>
      <w:r>
        <w:rPr>
          <w:b/>
        </w:rPr>
        <w:t>E. 11</w:t>
      </w:r>
    </w:p>
    <w:p>
      <w:r>
        <w:t>Alors que l'OAIE base la suppression de la rente versée depuis le 1er février 1991 sur les expertises des Drs I._______ et J._______, le recourant conteste les conclusions de ces expertises, il s'agit donc d'examiner si elles répondent aux critères posés par la jurisprudence du Tribunal fédéral.</w:t>
      </w:r>
    </w:p>
    <w:p>
      <w:r>
        <w:rPr>
          <w:b/>
        </w:rPr>
        <w:t>E. 11.1</w:t>
      </w:r>
    </w:p>
    <w:p>
      <w:r>
        <w:t>En premier lieu, le Tribunal de céans observe que, sur le plan physique, le recourant ne souffre plus de séquelles des accidents des 6 février 1990 et 27 mars 1991. Lors de l'expertise du 18 août 2009, le Dr J._______ n'a relevé du point de vue neurologique aucun diagnostic invalidant: le résultat de l'examen clinique neurologique est tout à fait normal à part un léger surpoids pondéral, il n'y a pas de séquelles d'une éventuelle distorsion de la colonne cervicale de 1990, pas de signes de pression intracrânienne, pas de déficits sensoriels des nerfs du cerveau, pas de problèmes moteur au niveau du tronc et des extrémités. La constitution plutôt athlétique et la fonction parfaitement intacte du système neuro-musculaire permettent selon le Dr J._______ une activité lucrative comme avant l'accident de 1990 et l'aide importante de l'épouse, dont l'assuré a eu besoin lors de l'examen pour se déshabiller et se rhabiller, ne correspond, selon le neurologue, absolument pas au résultat tout à fait normal de l'examen somatique. En ce qui concerne la capacité de travail, l'expert mentionne que l'assuré n'a pas fait d'apprentissage et, après avoir travaillé exclusivement dans l'exploitation agricole de son père, a travaillé après son immigration en Suisse en 1980 presque sans interruption dans la construction. Selon le Dr J._______, la capacité de travail du point de vue neurologique, que ce soit dans le domaine agricole, dans la construction ou dans une autre activité auxiliaire adaptée, est, en tenant compte de l'âge, de 100% avec une présence de 8,5 heures par semaine et de 5 jours par semaine. L'expert note que, en raison de la longue absence du marché du travail, il faut compter avec un rendement de 50% pendant la première année et ensuite avec un rendement normal.</w:t>
      </w:r>
    </w:p>
    <w:p>
      <w:r>
        <w:rPr>
          <w:b/>
        </w:rPr>
        <w:t>E. 11.2</w:t>
      </w:r>
    </w:p>
    <w:p>
      <w:r>
        <w:t>Du point de vue psychiatrique, le Dr C._______, dans son expertise du 24 mai 1994, avait posé le diagnostic d'état anxieux lié à une réaction de type stress post-traumatique avec tendance à l'exagération et avait retenu une incapacité de travail totale due à des troubles psychiques. Suite à cette expertise, le recourant a été mis au bénéfice d'une rente entière d'invalidité. Or, dans le cadre de la procédure judiciaire avec la SUVA, le Dr D._______ avait contesté la présence d'un stress post-traumatique et d'un état d'anxiété, dans la mesure où le Dr C._______ n'avait pas objectivé de symptômes psychopathologiques. Le Dr I._______, le 18 août 2009, constate la présence d'un syndrome douloureux somatoforme persistant (CIM-10 F 45.4), de suspicion de syndrome amnésique organique léger (CIM-10 F 04) et d'humeur soucieuse et dysphorique dans le sens d'une dysthymie (CIM-10 F 34.1). L'expert note que le diagnostic de stress post-traumatique n'est pas justifié parce que l'assuré nie avoir eu ou avoir encore à l'heure actuelle des flashbacks, que selon la CIM-10 un stress post-traumatique est en général provoqué par des événements vécus particulièrement traumatisants, ce qui n'est pas le cas de l'assuré. Par contre l'expert signale que des signes de dysthymie (tristesse, anxiété et agitation) sont présents et qu'il s'agit d'une forme atténuée de dépression avec de fréquentes phases de stabilité psychique. Selon le Dr I._______, l'assuré présente un syndrome douloureux somatoforme persistant parce qu'il est fixé sur ses douleurs et a des craintes hypochondres. Etant donné que des signes cliniques pouvant indiquer un syndrome psycho-organique font défaut, l'expert a procédé à un test de Benton qui révèle un éventuel syndrome amnésique léger sans influence sur la capacité de travail. En passant en revue les critères établis par la jurisprudence concernant le syndrome douloureux persistant, le Dr I._______ constate une certaine comorbidité psychique de peu de gravité mais chronique, le manque de maladies somatiques chroniques, un syndrome douloureux chronique et l'absence d'isolation sociale. En tenant expressément compte de facteurs défavorables étrangers à la maladie, le Dr I._______ fixe la capacité de travail à 60% dans le même type de travail qu'auparavant, mais précise qu'il ne faut pas compter avec une amélioration de la situation et la reprise d'une activité lucrative. Il mentionne encore que le stress post-traumatique a totalement disparu.</w:t>
      </w:r>
    </w:p>
    <w:p>
      <w:r>
        <w:rPr>
          <w:b/>
        </w:rPr>
        <w:t>E. 11.3</w:t>
      </w:r>
    </w:p>
    <w:p>
      <w:r>
        <w:t>Sur la base des expertises des Drs I._______ et J._______, le service médical de l'OAIE a donc constaté que le recourant était de nouveau en mesure d'exercer son activité habituelle ou une activité de substitution à 60% dès le 19 août 2009.</w:t>
      </w:r>
    </w:p>
    <w:p>
      <w:r>
        <w:rPr>
          <w:b/>
        </w:rPr>
        <w:t>E. 11.4</w:t>
      </w:r>
    </w:p>
    <w:p>
      <w:r>
        <w:t>Le Tribunal de céans ne saurait accorder une pleine valeur probante à l'expertise psychiatrique du Dr I._______ notamment dans la mesure où l'existence d'une amélioration de l'état de santé du recourant n'est pas explicitée: la présence d'un stress post-traumatique ayant déjà été mis en doute en 1994, l'absence de cet élément diagnostic ne peut aujourd'hui prouver une amélioration de l'état de santé qui serait intervenue à partir du 19 août 2009. En outre, bien qu'ayant reconnu une capacité de travail de 60%, l'expert ne s'est nullement exprimé sur les réelles possibilités de réinsertion professionnelle de l'assuré dont le déconditionnement au travail peut être devenu pathologique vu son âge, son manque de ressources et le fait qu'il a bénéficié d'une rente entière pendant 19 ans. L'OAIE ne s'est pas non plus exprimé sur cette question.</w:t>
      </w:r>
    </w:p>
    <w:p>
      <w:r>
        <w:rPr>
          <w:b/>
        </w:rPr>
        <w:t>E. 11.5</w:t>
      </w:r>
    </w:p>
    <w:p>
      <w:r>
        <w:t>Selon une jurisprudence constante (cf. arrêt du Tribunal fédéral 9C_254/2011 du 15 novembre 2011), dans certains cas très particuliers,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12</w:t>
      </w:r>
    </w:p>
    <w:p>
      <w:r>
        <w:t>Au vu de ce qui précède, le Tribunal de céans ne peut que renvoyer le dossier à l'autorité inférieure en application de l'art. 61 PA (cf. ATF 137 V 210 consid. 4.4.1.4) afin qu'elle ordonne une nouvelle expertise psychiatrique auprès d'un expert de langue française, conformément aux Lignes directrices de qualité des expertises psychiatriques dans le domaine de l'assurance-invalidité de février 2012 (disponibles sur le site de la Société suisse de psychiatrie et psychothérapie www.psychiatrie.ch), et examine la question de savoir si l'éventuelle capacité de travail résiduelle médico-théorique permet de conclure à une amélioration de la capacité de gain.</w:t>
      </w:r>
    </w:p>
    <w:p>
      <w:r>
        <w:rPr>
          <w:b/>
        </w:rPr>
        <w:t>E. 13</w:t>
      </w:r>
    </w:p>
    <w:p>
      <w:r>
        <w:t>Il s'ensuit que la décision du 3 juin 2010 doit être annulée et le recours partiellement admis.</w:t>
      </w:r>
    </w:p>
    <w:p>
      <w:r>
        <w:rPr>
          <w:b/>
        </w:rPr>
        <w:t>E. 14.1</w:t>
      </w:r>
    </w:p>
    <w:p>
      <w:r>
        <w:t>Le recourant ayant eu partiellement gain de cause, il n'est pas perçu de frais de procédure (art. 63 PA) et l'avance de frais fournie de 400 francs lui est restituée intégralement (cf. ATF 132 V 215 consid. 6.2).</w:t>
      </w:r>
    </w:p>
    <w:p>
      <w:r>
        <w:rPr>
          <w:b/>
        </w:rPr>
        <w:t>E. 14.2</w:t>
      </w:r>
    </w:p>
    <w:p>
      <w:r>
        <w:t>Le recourant ayant agi en étant représenté, il lui est alloué une indemnité globale de dépens de 2'500 francs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