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C-4967/2009 vom 8. Juni 2010</w:t>
      </w:r>
    </w:p>
    <w:p>
      <w:r>
        <w:t>Bundesverwaltungsgericht, 2010-06-08, FR</w:t>
      </w:r>
    </w:p>
    <w:p>
      <w:r>
        <w:rPr>
          <w:b/>
        </w:rPr>
        <w:t xml:space="preserve">Quelle: </w:t>
      </w:r>
      <w:r>
        <w:t>https://mcp.opencaselaw.ch/entscheid/bvger_C-4967_2009</w:t>
      </w:r>
    </w:p>
    <w:p>
      <w:r>
        <w:t>FR: TAF C-4967/2009 du 8 juin 2010</w:t>
      </w:r>
    </w:p>
    <w:p>
      <w:r>
        <w:t>IT: TAF C-4967/2009 del 8 giugno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4.1</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s'il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arrêts du Tribunal administratif fédéral C-8229/2008 du 8 juillet 2009 consid. 4.1, C-5422/2008 du 10 juin 2009 consid. 6.2 et C-707/2008 du 18 mars 2009 consid. 4.2). Si des raisons majeures le justifient, la décision d'interdiction d'entrée peut être provisoirement suspendue (art. 67 al. 4 LEtr).</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 / HANSPETER THÜR / ANDREAS ZÜND / PETER BOLZLI, Migrationsrecht, Zurich 2009, ad. art. 67 LEtr., ch. 2; cf. également arrêt du Tribunal administratif fédéral C-707/2008 précité consid. 4.1).</w:t>
      </w:r>
    </w:p>
    <w:p>
      <w:r>
        <w:rPr>
          <w:b/>
        </w:rPr>
        <w:t>E. 4.3</w:t>
      </w:r>
    </w:p>
    <w:p>
      <w:r>
        <w:t>En application de l'art. 81 OASA, les autorités cantonales peuvent déposer une demande auprès de l'ODM afin qu'il ordonne une interdiction d'entrée.</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2ème éd., Peter Uebersax/Beat Rudin/Thomas Hugi Yar/Thomas Geiser [éd.], Bâle 2009, ch. 8.80 p. 356).</w:t>
      </w:r>
    </w:p>
    <w:p>
      <w:r>
        <w:rPr>
          <w:b/>
        </w:rPr>
        <w:t>E. 5</w:t>
      </w:r>
    </w:p>
    <w:p>
      <w:r>
        <w:t>Dans la mesure où le recourant invoque un vice de procédure, reprochant en particulier à l'autorité inférieure de n'avoir pas respecté son droit d'être entendu avant de prononcer la décision querellée, il convient d'examiner en priorité ce grief.</w:t>
      </w:r>
    </w:p>
    <w:p>
      <w:r>
        <w:rPr>
          <w:b/>
        </w:rPr>
        <w:t>E. 5.1</w:t>
      </w:r>
    </w:p>
    <w:p>
      <w:r>
        <w:t>La jurisprudence du Tribunal fédéral a déduit du droit d'être entendu, garanti par l'art. 29 al. 2 de la Constitution fédérale de la Confédération suisse du 18 avril 1999 (Cst., RS 101) et défini par les dispositions spéciales de procédure, notamment le droit pour le justiciable de s'expliquer - en s'exprimant sur les éléments pertinents avant qu'une décision ne soit prise à son détriment - et d'obtenir une décision motivée (cf. ATF 132 V 368 consid. 3.1 p. 369s., ATF 129 II 497 consid. 2.2 p. 504s., ATF 126 I 15 consid. 2a/aa p. 16s., et la jurisprudence citée ; ATAF 2007/21 consid. 10.2 p. 248s., et les références citées ; Jurisprudence des autorités administratives de la Confédération [JAAC] 63.66 consid. 2 ; André Grisel, Traité de droit administratif, Neuchâtel 1984, vol. I, p. 380ss). Le droit d'être entendu est consacré, en procédure administrative fédérale, notamment par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 ; Grisel, op. cit., p. 380s. ; Fritz Gygi, Bundesverwaltungsrechtspflege, Berne 1983, p. 69).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(cf. ATAF 2009/53 consid. 7.3 p. 773; ATF 135 I 279 consid. 2.6.1, 133 I 201 consid. 2.2, ATF 130 II 530 consid. 7.3, et jurisprudence citée).</w:t>
      </w:r>
    </w:p>
    <w:p>
      <w:r>
        <w:rPr>
          <w:b/>
        </w:rPr>
        <w:t>E. 5.2</w:t>
      </w:r>
    </w:p>
    <w:p>
      <w:r>
        <w:t>En l'espèce, il ressort des pièces du dossier cantonal qu'en date du 10 juillet 2009, la police cantonale valaisanne a procédé à l'audition de X._______ concernant sa présence illégale en Suisse et l'a dûment informé que son cas allait être soumis à l'ODM pour examen quant au prononcé d'une éventuelle mesure d'éloignement à son encontre; ce dernier a d'ailleurs signé le même jour une déclaration prenant acte de ce qui précède et n'a formulé aucune remarque à ce sujet. Cela étant, l'intéressé n'a certes pas eu l'occasion de se déterminer sur les arguments retenus par l'autorité inférieure à l'appui de la décision querellée avant son prononcé. Cependant, il a pu le faire librement dans le cadre de la présente procédure de recours introduite devant le TAF (qui dispose d'une pleine cognition, cf. consid. 2 supra), tant dans son recours que dans sa réplique. En outre, une réparation d'une violation du droit d'être entendu peut également se justifier en présence d'un vice grave lorsque le renvoi constituerait une vaine formalité et aboutirait à un allongement inutile de la procédure (cf. ATF 133 I 201 consid. 2.2 p. 204, cité dans l'arrêt du Tribunal fédéral 6B_657/2009 du 18 février 2010 consid. 3.1.2). Aussi faut-il considérer que ce vice a été réparé. Dans ces circonstances, le grief tiré de la violation du droit d'être entendu doit être écarté.</w:t>
      </w:r>
    </w:p>
    <w:p>
      <w:r>
        <w:rPr>
          <w:b/>
        </w:rPr>
        <w:t>E. 6</w:t>
      </w:r>
    </w:p>
    <w:p>
      <w:r>
        <w:t>En l'occurrence, l'ODM a prononcé à l'encontre de X._______ une décision d'interdiction d'entrée fondée sur l'art. 67 al. 1 let. a LEtr, estimant que le recourant avait porté atteinte, notamment en raison de son comportement, à la sécurité et l'ordre publics. En outre, l'autorité intimée a aussi fondé sa décision sur l'art. 67 let. b (étranger ayant occasionné des coûts en matière d'aide sociale) et let. d LEtr (étranger placé en détention en vue de l'exécution du renvoi).</w:t>
      </w:r>
    </w:p>
    <w:p>
      <w:r>
        <w:rPr>
          <w:b/>
        </w:rPr>
        <w:t>E. 6.1</w:t>
      </w:r>
    </w:p>
    <w:p>
      <w:r>
        <w:t>Dans le cas d'espèce, il est établi que l'intéressé a été condamné, le 17 juin 2004, pour aide à une entrée illégale sur le territoire suisse à une peine de sept jours d'emprisonnement avec sursis durant deux ans et à une amende de Fr. 400.-- et que le SPM lui a adressé, pour les faits précités, un sérieux avertissement (cf. consid. A.b), ce qui ne l'a pas empêché de commettre à nouveau une infraction (tentative de faux dans les certificats) pour laquelle il a été condamné à une peine de 14 jours d'emprisonnement avec sursis durant deux ans, le sursis prononcé par ordonnance du 17 juin 2004 ayant été prolongé d'une année (cf. consid. A.d). Pour ces faits, le recourant a, à nouveau, fait l'objet d'un avertissement par le SPM (cf. consid. A.e). En outre, l'intéressé, par son comportement envers les autorités civiles et scolaires de la commune de Viège (défaut d'intégration et de coopération avec les différents organes scolaires, sociaux et judiciaires; cf. à ce propos les décisions du 18 mars 2008 du SPM et du 3 décembre 2008 du Conseil d'Etat valaisan, ainsi que l'arrêt du Tribunal cantonal valaisan du 17 avril 2009 consid. 5.2.2.), ainsi qu'envers ses enfants mineurs (mauvais traitements et violation du devoir de surveillance, d'entretien et d'éducation ayant nécessité des mesures du Service de la protection de la jeunesse et des autorités tutélaires et judiciaires; cf. décisions du SPM et du Conseil d'Etat valaisan précitées, arrêt cantonal précité, ibid.) - comportement ayant finalement entraîné le non-renouvellement de son autorisation de séjour - a largement démontré qu'il n'entendait ni se conformer à l'ordre juridique suisse, ni le respecter. Nonobstant les allégations de l'intéressé dans son recours tendant à minimiser les infractions relevées par l'ODM dans la décision querellée, le Tribunal de céans ne saurait faire abstraction des délits commis par l'intéressé et du comportement de ce dernier qui, malgré une première condamnation avec sursis, n'a guère modifié son attitude en dépit des avertissements répétés des autorités compétentes valaisannes (cf. arrêt cantonal précité, ibid.). Par conséquent, l'autorité de céans juge que l'intéressé représente un danger pour la sécurité et l'ordre publics, de sorte qu'il se justifie de prononcer une interdiction d'entrée à son encontre. L'intérêt de la Confédération commande de maintenir éloignés de son territoire les ressortissants étrangers ayant commis des crimes ou des délits dans leur pays d'origine ou à l'étranger ou qui n'entendent pas respecter l'ordre juridique suisse afin de prévenir la commission d'infractions sur le sol helvétique et d'assurer la protection de la collectivité. C'est dès lors à raison que l'autorité intimée a jugé que X._______ avait attenté à la sécurité et à l'ordre publics au sens de l'art. 67 al. 1 let. a LEtr.</w:t>
      </w:r>
    </w:p>
    <w:p>
      <w:r>
        <w:rPr>
          <w:b/>
        </w:rPr>
        <w:t>E. 6.2</w:t>
      </w:r>
    </w:p>
    <w:p>
      <w:r>
        <w:t>Il ressort aussi des pièces du dossier (cf. courriers des 10 mai 2005 et 11 juin 2007 de l'administrateur des finances de la commune de Viège) que le recourant - ainsi que son épouse et leurs enfants mineurs à charge - ont bénéficié de l'aide sociale de la commune précitée entre le 1er janvier 2004 et le 30 juin 2007 et que les montants alloués à ce titre n'ont été que partiellement remboursés. L'intéressé, malgré les dénégations contenues dans son recours, n'a pas démontré avoir totalement remboursé le solde de la dette auprès de la commune de Viège. Dès lors, la condition fixée par l'art. 67 al. 1 let. b est aussi remplie.</w:t>
      </w:r>
    </w:p>
    <w:p>
      <w:r>
        <w:rPr>
          <w:b/>
        </w:rPr>
        <w:t>E. 6.3</w:t>
      </w:r>
    </w:p>
    <w:p>
      <w:r>
        <w:t>Enfin, auditionné le 10 juillet 2009 par la police cantonale valaisanne sur sa situation irrégulière dans le canton précité, le recourant a nié les faits et a clairement indiqué qu'il n'entendait pas quitter la Suisse de son plein gré, de sorte que le SPM a été contraint, le même jour, de prononcer le refoulement immédiat à la frontière de l'intéressé, ainsi que sa mise en détention en vue de l'exécution du refoulement. Entendu le 13 juillet 2009 par le Tribunal cantonal valaisan, X._______ a persisté dans son refus de quitter la Suisse, ce qui a conduit le Tribunal cantonal précité, par arrêt du 13 juillet 2009, à confirmer la décision de mise en détention du SPM du 10 juillet 2009. Ce dernier arrêt a certes fait l'objet d'un recours au TF, comme l'a indiqué l'intéressé dans son recours du 17 août 2007, mais ce pourvoi a été déclaré irrecevable le 25 septembre 2009 par le TF. Aussi, force est de constater que le recourant a fait l'objet d'une mesure de contrainte en vue de l'exécution de son renvoi de Suisse en raison de son refus répété de se soumettre à la décision de renvoi prise par les autorités cantonales et que, de ce fait, la condition fixée par l'art. 67 al. 1 let. d est aussi remplie.</w:t>
      </w:r>
    </w:p>
    <w:p>
      <w:r>
        <w:rPr>
          <w:b/>
        </w:rPr>
        <w:t>E. 6.4</w:t>
      </w:r>
    </w:p>
    <w:p>
      <w:r>
        <w:t>Au vu de ce qui précède, le Tribunal de céans estime que l'intéressé remplit les conditions fixées par l'art. 67 al. 1 let. a, b et d LEtr pour justifier le prononcé d'une mesure d'éloignement à son encontre.</w:t>
      </w:r>
    </w:p>
    <w:p>
      <w:r>
        <w:rPr>
          <w:b/>
        </w:rPr>
        <w:t>E. 7</w:t>
      </w:r>
    </w:p>
    <w:p>
      <w:r>
        <w:t>Il convient encore d'examiner si la mesure d'éloignement prise par l'ODM satisfait aux principes de la proportionnalité et de l'égalité de traitement.</w:t>
      </w:r>
    </w:p>
    <w:p>
      <w:r>
        <w:rPr>
          <w:b/>
        </w:rPr>
        <w:t>E. 7.1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7.2</w:t>
      </w:r>
    </w:p>
    <w:p>
      <w:r>
        <w:t>S'agissant de l'intérêt privé du recourant à pouvoir se déplacer librement en Suisse, il apparaît que celui-ci peut se prévaloir d'attaches personnelles dans ce pays, dans lequel résident plusieurs de ses enfants et où il a vécu de 1991 à 2009.</w:t>
      </w:r>
    </w:p>
    <w:p>
      <w:r>
        <w:rPr>
          <w:b/>
        </w:rPr>
        <w:t>E. 7.3</w:t>
      </w:r>
    </w:p>
    <w:p>
      <w:r>
        <w:t>S'agissant de l'intérêt public, il est à noter que les actes pour lesquels le recourant a été condamné en Suisse et a suscité l'intervention des autorités valaisannes ne peuvent être qualifiés de bénins. En outre, il ressort clairement des actes du dossier (cf. décisions et arrêt rendus par les autorités valaisannes quant au refus de renouvellement de l'autorisation de séjour) que l'intéressé, malgré les avertissements répétés du SPM, n'a pas jugé utile de changer de comportement afin de mieux s'intégrer et de respecter l'ordre public et ses devoirs de surveillance, d'entretien et d'éducation à l'égard de ses enfants mineurs, au point que les autorités civiles et scolaires de la commune de Viège ont dû intervenir à plusieurs reprises (cf. arrêt du Tribunal cantonal du 17 avril 2009, consid. 5.2.2). Dès lors, le manque de collaboration de l'intéressé avec les autorités précitées et son comportement récidiviste sont, à cet égard, tout à fait révélateurs et témoignent de l'intérêt public indéniable à éloigner X._______ du territoire helvétique. Dans ce contexte, l'allégation du recourant selon laquelle il ne peut être considéré comme un homme dangereux pour la sécurité du pays, car il n'a jamais fait l'objet de lourdes condamnations pénales (cf. mémoire de recours, p. 6-7), n'est point pertinente. A tout le moins, elle ne permet pas à elle seule de faire admettre un pronostic favorable quant au comportement futur de l'intéressé. En effet, compte tenu de son comportement récidiviste, malgré les avertissements donnés par les autorités compétentes valaisannes et de l'absence d'une réelle volonté de changement d'attitude (cf. arrêt du Tribunal cantonal précité, ibid), tout risque de mise en danger de l'ordre et de la sécurité publics ne peut être écarté.</w:t>
      </w:r>
    </w:p>
    <w:p>
      <w:r>
        <w:rPr>
          <w:b/>
        </w:rPr>
        <w:t>E. 7.4</w:t>
      </w:r>
    </w:p>
    <w:p>
      <w:r>
        <w:t>Dans ces circonstances, l'intérêt personnel de X._______ à revenir dans ce pays ne saurait être considéré comme prépondérant par rapport à l'intérêt public à son éloignement, si bien que le prononcé d'une interdiction d'entrée d'une durée de dix ans se révèle proportionné au but de sauvegarde de l'ordre et de la sécurité publics visé par cette mesure.</w:t>
      </w:r>
    </w:p>
    <w:p>
      <w:r>
        <w:rPr>
          <w:b/>
        </w:rPr>
        <w:t>E. 7.5</w:t>
      </w:r>
    </w:p>
    <w:p>
      <w:r>
        <w:t>Au vu de l'ensemble des éléments objectifs et subjectifs de la cause, le Tribunal estime que l'interdiction d'entrée en Suisse prononcée le 16 juillet 2009 par l'autorité intimée est adéquate et que sa durée respecte le principe de proportionnalité. Par ailleurs, cette mesure n'est pas contraire au principe d'égalité de traitement, au regard des décisions prises par les autorités dans des cas analogues.</w:t>
      </w:r>
    </w:p>
    <w:p>
      <w:r>
        <w:rPr>
          <w:b/>
        </w:rPr>
        <w:t>E. 8</w:t>
      </w:r>
    </w:p>
    <w:p>
      <w:r>
        <w:t>S'agissant des allégations du recourant selon lesquelles il affirme avoir été victime d'un acte de brigandage au domicile de son père au Kosovo, ne plus se sentir en sécurité dans son pays d'origine et avoir fait l'objet d'intimidations, d'atteinte à ses biens et à son intégrité physique, elles ne sont pas relevantes dans le cadre de la présente procédure de recours. En effet, ces allégations sont extrinsèques au cadre du présent litige - qui a trait uniquement à la question de l'interdiction d'entrée - et, au surplus, ne sont étayées par aucun moyen de preuve déterminant, puisqu'elles reposent sur une déclaration écrite signée par l'intéressé lui-même et un article de journal qui ne fait mention ni de l'identité de ce dernier, ni d'actes dirigés précisément à son endroit. En tout état de cause, il est à noter que, le 6 mars 2009, le Conseil fédéral a déclaré le Kosovo « Etat exempt de persécutions » (safe country) avec effet au 1er avril 2009 et qu'il incombe au recourant de s'adresser aux autorités compétentes de son pays d'origine pour toute question relevant de la commission d'infractions à son endroit.</w:t>
      </w:r>
    </w:p>
    <w:p>
      <w:r>
        <w:rPr>
          <w:b/>
        </w:rPr>
        <w:t>E. 9</w:t>
      </w:r>
    </w:p>
    <w:p>
      <w:r>
        <w:t>Il ressort de ce qui précède que, par sa décision du 16 juillet 2009,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