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C-4965/2007 vom 20. November 2009</w:t>
      </w:r>
    </w:p>
    <w:p>
      <w:r>
        <w:t>Bundesverwaltungsgericht, 2009-11-20, FR</w:t>
      </w:r>
    </w:p>
    <w:p>
      <w:r>
        <w:rPr>
          <w:b/>
        </w:rPr>
        <w:t xml:space="preserve">Quelle: </w:t>
      </w:r>
      <w:r>
        <w:t>https://mcp.opencaselaw.ch/entscheid/bvger_C-4965_2007</w:t>
      </w:r>
    </w:p>
    <w:p>
      <w:r>
        <w:t>FR: TAF C-4965/2007 du 20 novembre 2009</w:t>
      </w:r>
    </w:p>
    <w:p>
      <w:r>
        <w:t>IT: TAF C-4965/2007 del 20 novembre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ne sont donc pas applicables et les dispositions citées ci-après sont celles en vigueur jusqu'au 31 décembre 2007.</w:t>
      </w:r>
    </w:p>
    <w:p>
      <w:r>
        <w:rPr>
          <w:b/>
        </w:rPr>
        <w:t>E. 3.2</w:t>
      </w:r>
    </w:p>
    <w:p>
      <w:r>
        <w:t>Le recourant a présenté sa demande de rente le 2 décembre 2003. En dérogation à l'art. 24 LPGA, l'art. 48 al. 2 LAI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2 décembre 2002 ou si le droit à une rente était né entre cette date et le 14 juin 2007, date de la décision attaquée marquant la limite dans le temps du pouvoir d'examen de l'autorité de recours (ATF 129 V 1 consid. 2.1 et ATF 121 V 362 consid. 1b). Par ailleurs, on notera que la documentation médicale ultérieure au 14 juin 2007 ne peut être prise en compte que dans la mesure où elle permet une meilleure compréhension des atteintes à la santé du recourant à la date de la décision attaquée.</w:t>
      </w:r>
    </w:p>
    <w:p>
      <w:r>
        <w:rPr>
          <w:b/>
        </w:rPr>
        <w:t>E. 4</w:t>
      </w:r>
    </w:p>
    <w:p>
      <w:r>
        <w:t>Selon la jurisprudence du Tribunal fédéral, l'administration ne peut rendre une décision sur opposition de nature cassatoire, en ce sens qu'elle se limite à annuler la décision précédente en raison de la nécessité d'une instruction complémentaire. L'administration doit compléter le dossier et réformer la décision initiale par une décision sur opposition mettant fin à l'instance (ATF 131 V 407). Dans la présente cause l'autorité inférieure a rendu à tort le 4 janvier 2006 une décision sur opposition de nature cassatoire annulant la décision du 22 mars 2005. Cela étant, la décision de l'OAIE du 14 juin 2007 doit être considérée sur un plan procédural comme la décision sur opposition mettant fin à la première instance (ATF 131 V 407 consid. 2.2).</w:t>
      </w:r>
    </w:p>
    <w:p>
      <w:r>
        <w:rPr>
          <w:b/>
        </w:rPr>
        <w:t>E. 5</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Le recourant a versé des cotisations à l'AVS/AI pendant plus d'une année au total et remplit donc la condition de la durée minimale de cotisations. Il reste à examiner s'il est invalide.</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L'assuré a droit à un quart de rente s'il est invalide à 40% au moins, à une demi-rente s'il est invalide à 50%, à trois-quarts de rente s'il est invalide à 60% et à une rente entière s'il est invalide à 70% au moins (art. 28 al. 1 LAI). Antérieurement au 1er janvier 2004, l'assuré avait droit à un quart de rente dès une invalidité de 40%, à une demi-rente dès une invalidité de 50% et à une rente entière dès une invalidité de 66.66%.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6.3</w:t>
      </w:r>
    </w:p>
    <w:p>
      <w:r>
        <w:t>Conformément à l'art. 29 al. 1 LAI,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 Une incapacité de travail de 20 % doit être prise en compte pour le calcul de l'incapacité de travail moyenne selon l'art. 29 al. 1 let. b LAI (Jurisprudence et pratique administrative des autorités d'exécution de l'AVS/AI [Pratique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ATF 116 V 246 consid. 1b; Sozialversicherungsrecht Rechtsprechung [SVR] 2009 IV n° 8 p. 16).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7.2</w:t>
      </w:r>
    </w:p>
    <w:p>
      <w:r>
        <w:t>Selon la jurisprudence,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8.1</w:t>
      </w:r>
    </w:p>
    <w:p>
      <w:r>
        <w:t>En l'espèce, le recourant présente notamment une maladie pulmonaire obstructive chronique aggravée par un status de fumeur, de l'arthrose à la colonne lombaire et un épisode dépressif avec symptôme somatique de sévérité moyenne.</w:t>
      </w:r>
    </w:p>
    <w:p>
      <w:r>
        <w:rPr>
          <w:b/>
        </w:rPr>
        <w:t>E. 8.2</w:t>
      </w:r>
    </w:p>
    <w:p>
      <w:r>
        <w:t>A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Une telle manière de procéder ne viole pas le droit d'être entendu selon l'art. 29 al. 2 Cst. (SVR 2001 IV n° 10 p. 28).</w:t>
      </w:r>
    </w:p>
    <w:p>
      <w:r>
        <w:rPr>
          <w:b/>
        </w:rPr>
        <w:t>E. 10.1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11</w:t>
      </w:r>
    </w:p>
    <w:p>
      <w:r>
        <w:t>En l'occurrence, il appert des rapports médicaux que le recourant souffre principalement de bronchopneumopathie obstructive de degré modéré à sévère (stade IIB-III), d'hypoxie de repos, de spondylolisthésis L5-S1 de grade I, sur lyse isthimique bilatérale, de canal lombaire étroit modéré sur ostéophytose L5-S1, de chondracalcinose et troubles dégénératifs modérés, de probable fibromyalgie et d'épisode dépressif avec symptômes somatiques de sévérité moyenne (cf. rapport d'exper-tise du 8 septembre 2006 p. 31; pce 68). Le début de l'incapacité de travail du recourant a été fixé en l'espèce au 20 octobre 2003 par le médecin de l'OAIE (pce 38, 46 et 71), date de la tomographie de la colonne lombo-sacrée de l'assuré qui a mis en exergue une discrète spondylite rachidienne en L5-S1 de degré I avec une altération du disque (pce 26). Peu avant le Dr B._______ avait fait état en juin 2003 de bronchites chroniques et d'asthme en relation avec un abus de nicotine sous traitement depuis septembre 2002 dans un contexte de toux chronique associé à un syndrome lombo-vertébral, de fibromyalgie, de tendinites musculaires et d'un état dépressif (pce 25). Les pièces au dossier confirment dans leur ensemble un état invalidant en tout cas en octobre 2003, moment retenu par l'OAIE, sans que le recourant n'ait remis en question cette constatation et sans qu'il y ait des raisons sérieuses de s'en écarter impérativement d'office.</w:t>
      </w:r>
    </w:p>
    <w:p>
      <w:r>
        <w:rPr>
          <w:b/>
        </w:rPr>
        <w:t>E. 12</w:t>
      </w:r>
    </w:p>
    <w:p>
      <w:r>
        <w:t>Il appert du rapport d'expertise du CEMED/COMAI de Nyon daté du 8 septembre 2006 que le recourant est en bon état général et qu'il pourrait sur le plan rhumatologique exercer toutes activités de substitution adaptées à 100% sans port de charges de plus de 15kg, ni déplacements prolongés, ni positions répétitives penchées en avant ou à genoux, y compris l'activité de grutier à 50%, mais que sur le plan pneumologique une limitation de 30% doit être prise en compte. Les experts relevèrent également une limitation de 30% sur le plan psychique compte tenu d'un trouble de l'humeur attesté par divers symptômes, dont somatiques de sévérité moyenne, provoquant une diminution de rendement pouvant être estimée à 30% dans une activité sédentaire exigible à 100%. Cette appréciation de la capacité résiduelle de travail de l'intéressé diffère de celle du Dr G._______ qui a retenu une incapacité dans une activité de substitution légère de seulement 20%. Toutefois, il n'y a aucune raison de s'écarter de l'appréciation des experts du CEMed/COMAI du 8 septembre 2006 dont les conclusions sont dûment justifiées et motivées. Cette appréciation a par ailleurs été reprise par l'OAIE lui-même dans sa réponse au recours du 26 février 2008 (rectifiant ainsi une inadvertance commise à ce sujet dans la décision attaquée; cf. pce TAF 9).</w:t>
      </w:r>
    </w:p>
    <w:p>
      <w:r>
        <w:rPr>
          <w:b/>
        </w:rPr>
        <w:t>E. 12.1</w:t>
      </w:r>
    </w:p>
    <w:p>
      <w:r>
        <w:t>C'est donc fondé sur une anamnèse complète et convaincante que l'OAIE a retenu dans sa décision du 14 juin 2007 la possibilité pour le recourant d'exercer une activité adaptée à 70% depuis le 20 octobre 2003. C'est à raison d'ailleurs que l'OAIE s'est référé à l'appréciation des experts du CEMed, établie à la suite d'un entretien et des divers examens réalisés, pour prendre en compte une incidence psychologique sur la capacité de travail de 30% plutôt que de 20% évaluée sur dossier par le Dr G._______.</w:t>
      </w:r>
    </w:p>
    <w:p>
      <w:r>
        <w:rPr>
          <w:b/>
        </w:rPr>
        <w:t>E. 13.1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13.2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13.3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13.4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notamment aux facteurs suivants: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La déduction, qui doit être effectuée globalement, résulte d'une évaluation et doit être brièvement motivée par l'administration. Le juge des assurances sociales ne peut, sans motif pertinent, substituer son appréciation à celle de l'administration (ATF 126 V 75 consid. 6).</w:t>
      </w:r>
    </w:p>
    <w:p>
      <w:r>
        <w:rPr>
          <w:b/>
        </w:rPr>
        <w:t>E. 14.1</w:t>
      </w:r>
    </w:p>
    <w:p>
      <w:r>
        <w:t>En l'espèce il y a lieu de procéder à une évaluation de l'invalidité selon la méthode générale par une comparaison de revenus entre, d'une part, le salaire mensuel effectif de l'assuré acquis durant l'année 2003 indexé 2004 à Fr. 5'718.54 (cf. supra Eb) avec, d'autre part, un revenu théorique 2004 pour des activités de substitution simples et légères des secteurs collectifs et personnels, du commerce de gros et de détail, soit, selon les chiffres de l'Enquête suisse sur la structure des salaires 2004, Fr. 4'264.67 pour 40 h./sem. et Fr. 4'445.91.- pour 41.7 h./sem. selon le temps de travail usuel de ces branches (cf. supra Eb,H; le montant retenu de Fr. 4'445.91 lors de l'évaluation effectuée en 2006 [supra H] est correct, celui retenu lors de l'évaluation effectuée en 2005 de Fr. 4'310.93 ayant été faussé par des paramètres erronés).</w:t>
      </w:r>
    </w:p>
    <w:p>
      <w:r>
        <w:rPr>
          <w:b/>
        </w:rPr>
        <w:t>E. 14.2.1</w:t>
      </w:r>
    </w:p>
    <w:p>
      <w:r>
        <w:t>La réduction des salaires ressortant des statistiques (abatte-ment) relève en premier lieu de l'OAIE, qui dispose pour cela d'un large pouvoir d'appréciation.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et les références, en particulier ATF 126 V 75 consid. 6 et ATF 123 V 150 consid. 2).</w:t>
      </w:r>
    </w:p>
    <w:p>
      <w:r>
        <w:rPr>
          <w:b/>
        </w:rPr>
        <w:t>E. 14.2.2</w:t>
      </w:r>
    </w:p>
    <w:p>
      <w:r>
        <w:t>En l'espèce, l'OAIE n'a pas exposé dans la décision attaquée les raisons pour lesquelles il a réduit le revenu d'invalide de l'assuré de 5%. Certes, dans le document concernant l'évaluation de l'invalidité du 30 novembre 2006 (doc. 72), il y a l'indication que "Compte tenu de l'âge et du fait qu'il ne peut exercer que des activités légères, adaptées et réduites, nous opérons une diminution de salaires de 5%". Toutefois, en l'absence notamment à ce sujet d'une quelconque explication de l'OAIE, pour minime qu'elle eut été, et du fait que le service médical de l'autorité inférieure avait retenu dans l'évaluation en question une incapacité de travail de 20% pour le recourant dans les activités de substitution au lieu de 30% (pourcentage enfin admis par l'OAIE lui-même dans la réponse au recours du 26 févier 2008; pce TAF 9) - nouvelle appréciation qui ne peut rester sans incidence sur l'abattement sur le salaire avec invalidité - le Tribunal de céans ne peut pas être lié par l'abattement retenu par l'administration dans la décision attaquée (ATF 126 V 75 consid. 5b/dd). En outre, le Tribunal fédéral a maintes fois admis un abattement de 20% si l'assuré ne peut plus exercer sa précédente activité et qu'il ne peut accomplir une activité de substitution légère que partiellement (cf. arrêt du Tribunal fédéral I 870/05 du 2 mai 2007 consid. 9 et les nombreuses références citées). Cela étant, il y a de sérieuses et pertinentes raisons de s'écarter de la conclusion de l'OAIE, selon laquelle un abattement de 5% seulement, totalement inapproprié en l'espèce, serait suffisant.</w:t>
      </w:r>
    </w:p>
    <w:p>
      <w:r>
        <w:rPr>
          <w:b/>
        </w:rPr>
        <w:t>E. 14.2.3</w:t>
      </w:r>
    </w:p>
    <w:p>
      <w:r>
        <w:t>En effet, il y a certainement lieu de tenir compte de l'âge du recourant (44 ans en 2004 [année de la naissance du droit à une rente] et 46 ans en 2007 [année de la décision attaquée]) et du fait qu'il peut exercer seulement des travaux de substitution légers et de façon limitée (rapport d'expertise du 8 septembre 2006 p. 30). L'OAIE a certes tenu compte, mais d'une manière inappropriée, des effets que l'âge du recourant et la nature de ses limitations fonctionnelles pouvaient jouer concrètement sur ses perspectives salariales dans le cadre d'une activité simple et légère (cf., par exemple, l'arrêt du Tribunal fédéral I 70/05 du 2 mai 2007 consid. 9 et les nombreux autres arrêts qui y sont cités [surtout l'arrêt I 215/01 du 29 août 2001 consid. 2 et 3], ainsi que les arrêts 9C_963/2008 consid. 3.5 et l'ATF 126 V 75 consid. 6b). De plus, l'autorité inférieure n'a pas pris en considération, d'une part, le fait que, dans les derniers 17 ans avant l'arrêt du travail pour motif de santé en 2003, le recourant n'a été actif que comme grutier (rapport d'expertise du 8 septembre 2006 p. 14; cf. sur cette question notamment l'arrêt du Tribunal fédéral I 645/00 du 29 mars 2001 consid. 2) et, d'autre part, de la nature évolutive de la maladie du recourant, les perspectives professionnelles de celui-ci étant pour cette dernière raison relativement limitées du point de vue temporel, même dans une activité de substitution légère, compte tenu de l'inévitable aggravation de son état de santé dans les prochaines années retenue par les experts du CEMed/COMAI (cf. le rapport d'expertise du 8 septembre 2006 p. 33). Il se justifie dès lors de prendre en considération une réduction pouvant se situer entre le 10 et le 15% du revenu statistique, réduction qui tient ainsi compte des circonstances du cas d'espèce et qui est conforme aux critères posés par la jurisprudence.</w:t>
      </w:r>
    </w:p>
    <w:p>
      <w:r>
        <w:rPr>
          <w:b/>
        </w:rPr>
        <w:t>E. 14.2.4</w:t>
      </w:r>
    </w:p>
    <w:p>
      <w:r>
        <w:t>Il s'ensuit que le revenu théorique pour des activités adaptées de Fr. 4'445.91 pris en compte à 70%, soit Fr. 3'112.14, sous déduction de 10%, réduction minimale à retenir en l'espèce pour les raisons indiquées au considérant 14.2.3, soit Fr. 2'800.90, fonde une invalidité économique de 51.02%, taux qui confère ainsi à l'assuré le droit à une demi-rente ([5'718.54 - 2'800.90] : 5'718.54 x 100 = 51.02%). Or, même si l'on voulait admettre un abattement supérieur au 10% et jusqu'à un maximum de 15%, l'invalidité économique qui en résulterait aurait a fortiori fondé le droit à une demi-rente.</w:t>
      </w:r>
    </w:p>
    <w:p>
      <w:r>
        <w:rPr>
          <w:b/>
        </w:rPr>
        <w:t>E. 14.2.5</w:t>
      </w:r>
    </w:p>
    <w:p>
      <w:r>
        <w:t>Il sied de plus de relever qu'indexés 2007, année de la décision attaquée, les revenus de la comparaison de salaires ne déterminent pas une invalidité inférieure à 50% ou sensiblement plus élevée (Revenu de grutier 2004 (111.5 points selon la base statistique 1993) indexé 2007 (114.8) = Fr. 5'887.78; Revenu d'invalide secteur du commerce (114.5) indexé 2007 (118.7) = Fr. 2'903.65, soit une différence déterminant une invalidité de 50.68% avec un abattement minimale de 10% ([5'887.78 - 2'903.65] : 5'887.78 x 100 = 50.68%).</w:t>
      </w:r>
    </w:p>
    <w:p>
      <w:r>
        <w:rPr>
          <w:b/>
        </w:rPr>
        <w:t>E. 15</w:t>
      </w:r>
    </w:p>
    <w:p>
      <w:r>
        <w:t>Il appert de ce qui précède que le recours doit être admis et la décision attaquée réformée dans le sens de l'octroi d'une demi-rente à compter du 1er octobre 2004. La cause est renvoyée à l'OAIE afin qu'il en fixe le montant (cf. sur ce point l'arrêt du Tribunal fédéral U 466/00 du 3 avril 2001 consid. 6c). Il sied encore de préciser, pour répondre expressément à un grief soulevé par le recourant ayant fait valoir ne pas comprendre que son invalidité avait été évaluée à 60% à compter de 2003 puis à 41% à compter de 2004, que le taux de 60% ne correspondait pas à une évaluation de son invalidité mais de son incapacité de travail dans sa profession de grutier selon le Dr G._______ (taux retenu aussi par l'OAIE dans son évaluation de l'invalidité [pce 72]; l'incapacité de travail dans sa précédente activité ayant été par contre considérée au taux de 50% dans le rapport d'expertise pluridisciplinaire du 8 septembre 2006) et que le taux de 41% résultait d'une comparaison de revenus sans et avec invalidité dans des activités légères adaptées. Ce taux a été apprécié ultérieurement à 48% (cf. la réponse de l'autorité inférieure du 26 février 2008) sans cependant que cela n'ait eu d'incidence sur le droit aux prestations d'invalidité et a été déterminé par le présent arrêt à 51%.</w:t>
      </w:r>
    </w:p>
    <w:p>
      <w:r>
        <w:rPr>
          <w:b/>
        </w:rPr>
        <w:t>E. 16.1</w:t>
      </w:r>
    </w:p>
    <w:p>
      <w:r>
        <w:t>Vu l'issue de la cause, il n'est pas perçu de frais de procédure, et l'avance de frais de Fr. 400.- est restituée au recourant.</w:t>
      </w:r>
    </w:p>
    <w:p>
      <w:r>
        <w:rPr>
          <w:b/>
        </w:rPr>
        <w:t>E. 16.2</w:t>
      </w:r>
    </w:p>
    <w:p>
      <w:r>
        <w:t>Le recourant n'ayant pas agi représenté par un mandataire professionnel et n'ayant pas dû supporter des frais importants, il n'est pas alloué de dépens (art. 64 al. 1 PA a contrario en relation avec les art. 7 ss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