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C-495/2009 vom 22. Oktober 2010</w:t>
      </w:r>
    </w:p>
    <w:p>
      <w:r>
        <w:t>Bundesverwaltungsgericht, 2010-10-22, FR</w:t>
      </w:r>
    </w:p>
    <w:p>
      <w:r>
        <w:rPr>
          <w:b/>
        </w:rPr>
        <w:t xml:space="preserve">Quelle: </w:t>
      </w:r>
      <w:r>
        <w:t>https://mcp.opencaselaw.ch/entscheid/bvger_C-495_2009</w:t>
      </w:r>
    </w:p>
    <w:p>
      <w:r>
        <w:t>FR: TAF C-495/2009 du 22 octobre 2010</w:t>
      </w:r>
    </w:p>
    <w:p>
      <w:r>
        <w:t>IT: TAF C-495/2009 del 22 ottobre 2010</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Dès lors, la Cour de céans est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4</w:t>
      </w:r>
    </w:p>
    <w:p>
      <w:r>
        <w:t>La recourante conteste la validité matérielle de la décision de l'OAIE du 5 février 2009, dans la mesure où elle prétend avoir droit à une rente entière d'invalidité ou, à titre subsidiaire, de degré inférieur.</w:t>
      </w:r>
    </w:p>
    <w:p>
      <w:r>
        <w:rPr>
          <w:b/>
        </w:rPr>
        <w:t>E. 5</w:t>
      </w:r>
    </w:p>
    <w:p>
      <w:r>
        <w:t>La recourante a présenté sa demande de rente le 12 décembre 2007. En dérogation à l'art. 24 LPGA, l'art. 48 al. 2 LAI prévoit que si l'assuré présente sa demande de rente plus de douze mois après la naissance du droit, les prestations ne sont allouées que pour les douze mois précédant le dépôt de la demande. Concrètement, la Cour de céans peut se limiter à examiner si la recourante avait droit à une rente le 12 décembre 2006 (douze mois avant le dépôt de la demande) ou si le droit à une rente était né entre cette date et le 5 février 2009,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l'assurance-invalidité suisse: - être invalide au sens de la LPGA/LAI et - avoir versé des cotisations à l'AI suisse durant au moins trois années (art. 36 LAI). Dans ce cadre, les cotisations versées à une assurance sociale assimilée d'un État membre de l'Union européenne (UE) ou de l'Association européenne de libre échange (AELE), peuvent également être prises en considération, à condition qu'une année au moins de cotisations puisse être comptabilisée en Suisse (FF 2005 p. 4065; art. 45 du règlement 1408/71). En l'espèce, la recourante a versé des cotisations à l'AI pendant plus d'une année (pce 32), et à l'assurance sociale espagnole durant plus de deux ans (pce 2), remplissant ainsi la condition de la durée minimale de cotisations. Il reste dès lors à examiner si elle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L'assuré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dès le 1er janvier 2008). Suite à l'entrée en vigueur le 1er juin 2002 de l'ALCP, la restriction prévue à l'art. 28 al. 1ter LAI (art. 29 al. 4 LAI, dès le 1er janvier 2008), selon laquelle les rentes correspondant à un taux d'invalidité inférieur à 50% ne sont versées qu'aux assurés qui ont leur domicile et leur résidence habituelle en Suisse (art. 13 LPGA), n'est pas applicable lorsque l'assuré est un ressortissant suisse ou un ressortissant de l'UE et y réside.</w:t>
      </w:r>
    </w:p>
    <w:p>
      <w:r>
        <w:rPr>
          <w:b/>
        </w:rPr>
        <w:t>E. 7.3</w:t>
      </w:r>
    </w:p>
    <w:p>
      <w:r>
        <w:t>Conformément à l'art. 29 al. 1 LAI en vigueur jusqu'au 31 décembre 2007, le droit à une rente prend naissance au plus tôt à la date dès laquelle l'assuré présente une incapacité de gain durable de 40% au moins (lettre a), ou a présenté, en moyenne, une incapacité de travail de 40% au moins pendant une année sans interruption notable (lettre b). D'après la jurisprudence constante du Tribunal fédéral, l'art. 29 al. 1 let. a LAI s'applique si l'état de santé de l'assuré est stabilisé et a acquis un caractère essentiellement irréversible affectant la capacité de gain dans une mesure suffisamment grave pour justifier l'octroi d'une rente (art. 29 du Règlement du 17 janvier 1961 sur l'assurance-invalidité/RAI, RS 831.201), l'art. 29 al. 1 let. b LAI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En l'espèce, la recourante a exercé en Suisse, dans les années 1973 à 1974, une activité dans le secteur hôtelier (blanchisserie), puis a été active en Espagne comme agricultrice. Toutefois, depuis 2003, bien qu'elle soit toujours affiliée aux assurances sociales espagnoles dans le régime des agriculteurs, elle n'a plus exercé d'activité lucrative.</w:t>
      </w:r>
    </w:p>
    <w:p>
      <w:r>
        <w:rPr>
          <w:b/>
        </w:rPr>
        <w:t>E. 9.2</w:t>
      </w:r>
    </w:p>
    <w:p>
      <w:r>
        <w:t>Par rapport au diagnostic, il ressort des pièces médicales au dossier et, en particulier, des expertises détaillées E 213 du Dr B._______, du 14 octobre 2002 (pce 12), et de la Dresse C._______, du 11 janvier 2008 (pce 24), médecins-conseil de l'INSS, ainsi que de la prise de position du Dr D._______, du 5 octobre 2008 (pce 26), médecin-conseil de l'OAIE, que la recourante souffre d'un status après la pose d'une prothèse totale de la hanche gauche, d'un début de coxarthose à droite, de lombalgies communes et d'un diabète mellitus de type 2. Vu le caractère unanime de ce diagnostic, qui n'est par ailleurs pas contesté par la recourante, la Cour de céans ne peut que l'approuver.</w:t>
      </w:r>
    </w:p>
    <w:p>
      <w:r>
        <w:rPr>
          <w:b/>
        </w:rPr>
        <w:t>E. 9.3</w:t>
      </w:r>
    </w:p>
    <w:p>
      <w:r>
        <w:t>En ce qui concerne les conséquences des affections diagnostiquées sur la capacité de travail, le Dr B._______ a relevé, dans son expertise E 213, que la recourante ne pouvait plus travailler comme agricultrice, mais qu'elle était à même d'exercer un travail moyennement lourd, à temps complet, pourvu qu'elle évite l'exécution de tâches impliquant de fréquents fléchissements, le soulèvement et le déplacement de charges, ainsi que la montée et la descente d'escaliers, et il a conclu qu'elle présente une incapacité de travail permanente totale, selon la législation espagnole, depuis le 3 septembre 2001. Dans l'expertise E 213 du 11 janvier 2008, la Dresse C._______, bien qu'elle ait posé le même diagnostic et formulé les mêmes restrictions à l'exigibilité que le Dr B._______, a observé que la recourante est capable d'exercer des activités légères adaptées à son état de santé à plein temps, concluant que l'incapacité de travail est permanente et totale depuis 2002 pour sa dernière activité d'agricultrice. De son côté, le Dr D._______ a établi une incapacité de travail, dans l'activité d'agricultrice, de 20% dès le 21 avril 2002, et de 70% dès le 31 mars 2003, tout en reconnaissant, à partir de cette dernière date, une pleine capacité de travail dans des activités légères dans les services personnels, dans le commerce de gros et de détail et des activités simples de bureau sans qualification spéciale, suivant ainsi l'avis de la Dresse C._______. Il a en effet mis en évidence que la limitation de la mobilité de la hanche gauche n'est plus compatible avec un travail dans l'agriculture. Tout en considérant aussi la légère limitation présente à la hanche droite et les douleurs lombaires sans atteinte fonctionnelle significative et sans troubles neurologiques radiculaires, il a conclu que ces affections ne sont pas incompatibles avec des activités de substitution légères.</w:t>
      </w:r>
    </w:p>
    <w:p>
      <w:r>
        <w:rPr>
          <w:b/>
        </w:rPr>
        <w:t>E. 9.4</w:t>
      </w:r>
    </w:p>
    <w:p>
      <w:r>
        <w:t>Au vu de ce qui précède, la Cour de céans constate qu'aucun des médecins qui se sont exprimés dans la présente procédure, y compris ceux de l'INSS, n'a exclu la reprise d'une activité lucrative de substitution légère, et peut donc conclure, en accord avec l'avis exprimé par le Dr D._______, que l'incapacité de travail de la recourante doit être estimée à 70% depuis le 31 mars 2003 pour l'activité d'agricultrice, tandis que sa capacité de travail est complète depuis cette date pour des activités adaptées.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État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10.2</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w:t>
      </w:r>
    </w:p>
    <w:p>
      <w:r>
        <w:t>Dans le cas présent, l'OAIE s'est fié aux données statistiques suisses et non à celles espagnoles (disponibles, contrairement à ce qu'avance l'autorité intimée, sur le site Internet de l'Institut national espagnol de la statistique: www.ine.es), lesquelles ne présentent pas, faute d'en connaître la méthodologie, la même fiabilité et représentativité que celles disponibles en Suisse (cf. arrêt du Tribunal fédéral I 232/06 du 25 octobre 2006 consid. 4 et arrêt du Tribunal administatif fédéral C-3053/2006 du 4 septembre 2008 consid. 10.2.2). Cela dit, cette manière de procéder est en principe correcte, l'important dans l'évaluation de l'invalidité étant que les deux termes de la comparaison, à savoir le revenu sans invalidité et le revenu d'invalide, soient équivalents, c'est à dire qu'ils se rapportent à un même marché du travail et à une même année de référence, comme il a déjà été exposé au considérant 10.1 (ATF 110 V 273 consid. 4d; arrêt du Tribunal fédéral I 383/06 du 5 avril 2007 consid. 4.4). Toutefois, en l'espèce, l'OAIE a retenu par défaut, afin établir le salaire de valide, la catégorie "horticulture". Or, à ce propos, le Tribunal fédéral a statué que le revenu statistique d'employés dans l'horticulture ne permet pas de déterminer le salaire de personnes exerçant la profession d'agriculteur à titre indépendant de façon suffisamment fiable, motif pour lequel il sied de se référer aux rapports agricoles publiés par l'Office fédéral de l'agriculture (OFAG), qui livrent des chiffres plus précis en la matière (arrêt du Tribunal fédéral 9C_335/2007 du 8 mai 2008 consid. 3.3.3). Dans le cas concret, la recourante n'a indiqué, dans le questionnaire pour agriculteurs indépendants (doc. 15), ni la surface totale du terrain utilisé aux fins de son exploitation et le nombre de personnes y occupées, ni la quantité d'animaux et de machines utilisées. On peut toutefois laisser ouverte la question puisque, même en procédant à une évaluation de l'invalidité selon la méthode générale de comparaison des revenus d'après les données de l'OFAG (www.blw.admin.ch), la perte de gain qui en résulte est toujours inférieure à 40%.</w:t>
      </w:r>
    </w:p>
    <w:p>
      <w:r>
        <w:rPr>
          <w:b/>
        </w:rPr>
        <w:t>E. 12.1</w:t>
      </w:r>
    </w:p>
    <w:p>
      <w:r>
        <w:t>La recourante présente une incapacité de travail de 70% dans l'activité d'agricultrice indépendante, et ce depuis le 31 mars 2003, de sorte que le droit à la rente aurait pu naître une année après, soit en 2004, mais être reconnu seulement à partir de 2006 (cfr. consid. 5). Il est dès lors correct de se fonder sur l'année de référence 2006 pour la comparaison des revenus.</w:t>
      </w:r>
    </w:p>
    <w:p>
      <w:r>
        <w:rPr>
          <w:b/>
        </w:rPr>
        <w:t>E. 12.2</w:t>
      </w:r>
    </w:p>
    <w:p>
      <w:r>
        <w:t>Suivant le Rapport agricole 2007 de l'OFAG, le revenu moyen par 1.24 unités de main d'oeuvre familiale se montait à Fr. 52'915.- en 2006 (Tableau 17 de l'Annexe 16). Comme le revenu agricole indemnise le travail de 1.24 unités en moyenne et les fonds propres investis dans l'exploitation (Rapport, p. 54), et que seul le revenu du travail est relevant en l'espèce, il sied de déduire les intérêts sur le capital propre de Fr. 10'283.- (Tableau 17), ce qui donne un revenu de Fr. 42'632.-, soit Fr. 34'381.- par unité. En tenant compte d'un gain accessoire de Fr. 22'939.- par 1.24 unités (Tableau 17), soit Fr. 18'499.- par unité, il résulte un revenu total de Fr. 52'880.- par année ou Fr. 4'407.- par mois, montant qui correspond au salaire hypothétique de valide de la recourante.</w:t>
      </w:r>
    </w:p>
    <w:p>
      <w:r>
        <w:rPr>
          <w:b/>
        </w:rPr>
        <w:t>E. 12.3</w:t>
      </w:r>
    </w:p>
    <w:p>
      <w:r>
        <w:t>Pour le calcul du salaire d'invalide, les activités retenues en un premier temps par l'OAIE, puis laissées de côté (doc. 27), peuvent être ici reprises, dans la mesure où elles correspondent à l'exigibilité formulée dans les expertises E 213 et par le Dr. D._______ dans sa prise de position du 5 octobre 2008. Il s'agit d'activités simples et répétitives dans le domaine des services collectifs et personnels, du commerce de gros, du commerce de détail et des services fournis aux entreprises, avec des salaires mensuels respectifs en 2006, en fonction de quarante heures hebdomadaires, de Fr. 3'813.-, 4'244.- et 3'946.-, soit en moyenne Fr. 3'992.-, c'est-à-dire, en fonction de 41.7 heures par semaine (La Vie économique 12-2008, B 9.2), Fr. 4'162.-. Avec un abattement de 15%, eu égard aux circonstances personnelles de l'assurée, l'on obtient ainsi un salaire hypothétique d'invalide de Fr. 3'538.- par mois. En procédant à la comparaison des salaires de valide et d'invalide, selon la formule [(4'407 - 3'538) : 4'407 x 100], il résulte une perte de gain de 19.72%, soit un degré d'invalidité de 20%, lequel n'ouvre pas de droit à une rente d'invalidité suisse.</w:t>
      </w:r>
    </w:p>
    <w:p>
      <w:r>
        <w:rPr>
          <w:b/>
        </w:rPr>
        <w:t>E. 13</w:t>
      </w:r>
    </w:p>
    <w:p>
      <w:r>
        <w:t>Au vu de ce qui précède, le recours doit être rejeté et la décision attaquée confirmée.</w:t>
      </w:r>
    </w:p>
    <w:p>
      <w:r>
        <w:rPr>
          <w:b/>
        </w:rPr>
        <w:t>E. 14</w:t>
      </w:r>
    </w:p>
    <w:p>
      <w:r>
        <w:t>Il est encore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15</w:t>
      </w:r>
    </w:p>
    <w:p>
      <w:r>
        <w:t>Selon l'art. 63 al. 1 PA, en règle générale, les frais de procédure comprenant l'émolument d'arrêté, les émoluments de chancellerie et les débours sont mis, dans le dispositif, à la charge de la partie qui succombe. En l'espèce, eu égard à l'issue du litige, les frais de procédure sont mis à la charge de la recourante et compensés avec l'avance du même montant, versée le 7 mai 2009. Conformément à l'art. 64 al. 1 PA, l'autorité de recours peut allouer, d'office ou sur requête, à la partie ayant entièrement ou partiellement gain de cause une indemnité pour les frais indispensables et relativement élevés qui lui ont été occasionnés (dépens). Au vu de l'issue de la procédure, il n'est pas alloué d'indemnité à titre de dépens. En ce qui concerne l'OAIE, les autorités fédérales et, en règle générale, les autres autorités parties n'ont pas droit aux dépens (art. 7 al.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