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C-4956/2010 vom 29. April 2013</w:t>
      </w:r>
    </w:p>
    <w:p>
      <w:r>
        <w:t>Bundesverwaltungsgericht, 2013-04-29, DE</w:t>
      </w:r>
    </w:p>
    <w:p>
      <w:r>
        <w:rPr>
          <w:b/>
        </w:rPr>
        <w:t xml:space="preserve">Quelle: </w:t>
      </w:r>
      <w:r>
        <w:t>https://mcp.opencaselaw.ch/entscheid/bvger_C-4956_2010</w:t>
      </w:r>
    </w:p>
    <w:p>
      <w:r>
        <w:t>FR: TAF C-4956/2010 du 29 avril 2013</w:t>
      </w:r>
    </w:p>
    <w:p>
      <w:r>
        <w:t>IT: TAF C-4956/2010 del 29 aprile 2013</w:t>
      </w:r>
    </w:p>
    <w:p>
      <w:pPr>
        <w:pStyle w:val="Heading2"/>
      </w:pPr>
      <w:r>
        <w:t>Regeste</w:t>
      </w:r>
    </w:p>
    <w:p>
      <w:r>
        <w:t>Rentenanspruch</w:t>
      </w:r>
    </w:p>
    <w:p>
      <w:pPr>
        <w:pStyle w:val="Heading2"/>
      </w:pPr>
      <w:r>
        <w:t>Erwägungen</w:t>
      </w:r>
    </w:p>
    <w:p>
      <w:r>
        <w:rPr>
          <w:b/>
        </w:rPr>
        <w:t>E. 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2</w:t>
      </w:r>
    </w:p>
    <w:p>
      <w:r>
        <w:t>Das Verfahren vor dem Bundesverwaltungsgericht richtet sich grund­sätzlich nach dem Verwaltungsverfahrensgesetz vom 20. Dezem­ber 1968 (VwVG, SR 172.021 [Art. 37 VGG]). Vorbehalten bleiben gemäss Art. 3 Bst. dbis VwVG die besonderen Bestimmungen des Bundes­gesetzes über den Allgemeinen Teil des Sozialver­siche­rungs­rechts (ATSG, SR 830.1).</w:t>
      </w:r>
    </w:p>
    <w:p>
      <w:r>
        <w:rPr>
          <w:b/>
        </w:rPr>
        <w:t>E. 2.1</w:t>
      </w:r>
    </w:p>
    <w:p>
      <w:r>
        <w:t>Anfechtungsgegenstand ist vorliegend die Verfügung vom 4. Mai 2010, mit welcher die Vorinstanz auf die Neuanmeldung nicht ein­getreten ist. Weil der Streitgegenstand im Beschwerdeverfahren in der Regel nur enger, nicht aber weiter sein kann als der Anfechtungsgegenstand (vgl. BGE 133 II 35 E. 2, BGE 125 V 413 E. 2a), hat das Bundesverwaltungsgericht grundsätzlich nur zu prüfen, ob die Vor­instanz zu Recht auf die Neuanmeldung nicht eingetreten ist, und auf Begehren um Leistungszusprechung ist nicht einzutreten (vgl. BGE 132 V 74 E. 1.1, Urteil des Bundesgerichts [BGer] 9C_116/2010 vom 20. April 2010 E. 1, je mit Hinweisen).</w:t>
      </w:r>
    </w:p>
    <w:p>
      <w:r>
        <w:rPr>
          <w:b/>
        </w:rPr>
        <w:t>E. 2.2</w:t>
      </w:r>
    </w:p>
    <w:p>
      <w:r>
        <w:t>Nachfolgend ist jedoch zu prüfen, ob der Umstand, dass der Beschwerdeführer am 27. August 2009 gegenüber dem kroatischen Versicherungsträger erklärt hat, er wolle Beschwerde gegen die Verfügung vom 4. Juni 2009 erheben und ein Gesuch um Wiederherstellung der Beschwerdefrist stellen, hieran etwas ändert.</w:t>
      </w:r>
    </w:p>
    <w:p>
      <w:r>
        <w:rPr>
          <w:b/>
        </w:rPr>
        <w:t>E. 2.2.1</w:t>
      </w:r>
    </w:p>
    <w:p>
      <w:r>
        <w:t>Gemäss Art. 32 des Abkommens vom 9. April 1996 zwischen der Schweizerischen Eidgenossenschaft und der Republik Kroatien über Soziale Sicherheit (SR 0.831.109.291.1 [nachfolgend: Abkommen]) gelten Gesuche, Erklärungen und Rechtsmittel, die nach den Rechtsvorschriften eines Vertragsstaates innerhalb einer bestimmten Frist bei einer Verwaltungsbehörde, einem Gericht oder einem Träger dieses Vertragsstaates einzureichen sind, als fristgerecht eingereicht, wenn sie innert dieser Frist bei einer entsprechenden Stelle, einem entsprechenden Gericht oder einem entsprechenden Träger des anderen Vertragsstaates eingereicht werden. In solchen Fällen vermerkt die betreffende Stelle das Eingangsdatum auf dem eingereichten Schriftstück und leitet es an die zuständige Stelle des anderen Vertragsstaates weiter.</w:t>
      </w:r>
    </w:p>
    <w:p>
      <w:r>
        <w:rPr>
          <w:b/>
        </w:rPr>
        <w:t>E. 2.2.2</w:t>
      </w:r>
    </w:p>
    <w:p>
      <w:r>
        <w:t>Der kroatische Versicherungsträger richtete das Schreiben mit der (protokollarisch festgehaltenen) Erklärung des Beschwerdewillens und dem Fristwiederherstellungsgesuch sowie dem Antrag, die Eingabe sei als Neuanmeldung entgegen­zunehmen, sofern auf die Beschwerde nicht eingetreten werden könne, an die Vorinstanz. Die Behandlung der Sache, die Gegenstand der mit Beschwerde angefochtenen Verfügung bildet, geht mit Einreichung der Beschwerde auf die Beschwerdeinstanz über (Art. 54 VwVG; Devolutiveffekt) und die Vorinstanz verliert grundsätzlich die Befugnis, sich mit der Sache zu befassen (vgl. Hansjörg Seiler, in: Waldmann/Weissenberger [Hrsg.], Praxiskommentar VwVG, Zürich 2009 [nachfolgend: Praxiskom­mentar VwVG], Art. 54 N 3). Die Beurteilung der Frage, ob auf eine Beschwerde einzutreten ist, obliegt der zuständigen Beschwerdeinstanz. Daher wäre die Vorinstanz verpflichtet gewesen, die Sache an das zur Beschwerdebeurteilung zuständige Bundesverwaltungsgericht zu über­weisen (vgl. Art. 8 Abs. 1 VwVG). Davon hat die Vorinstanz jedoch abgesehen und sich mit dem Eventualbegehren der Neuanmeldung befasst.</w:t>
      </w:r>
    </w:p>
    <w:p>
      <w:r>
        <w:rPr>
          <w:b/>
        </w:rPr>
        <w:t>E. 2.2.3</w:t>
      </w:r>
    </w:p>
    <w:p>
      <w:r>
        <w:t>Nimmt eine Behörde, die sich als (eindeutig) unzuständig erachtet, keine Überweisung vor oder wartet sie damit übermässig lange zu, begeht sie eine Rechtsverweigerung bzw. -verzögerung (Thomas Flückiger, in: Praxiskommentar VwVG, Art. 8 N 29), wogegen Beschwerde geführt werden kann (vgl. Art. 46a VwVG). Bei verspäteter Überweisung ist die betroffene Person so zu stellen, wie wenn die Eingabe bei der zuständigen Behörde eingereicht worden wäre. In der Zwischenzeit eingetretene Nachteile sind so weit als möglich zu korrigieren (Flückiger, a.a.O., Art. 8 N 30). Es ist daher - soweit aufgrund des Zeitablaufs heute noch möglich - zu prüfen, ob auf die Beschwerde vom 27. August 2009 einzutreten gewesen wäre.</w:t>
      </w:r>
    </w:p>
    <w:p>
      <w:r>
        <w:rPr>
          <w:b/>
        </w:rPr>
        <w:t>E. 2.2.4</w:t>
      </w:r>
    </w:p>
    <w:p>
      <w:r>
        <w:t>Gemäss Art. 60 Abs. 1 ATSG ist die Beschwerde innerhalb von 30 Tagen nach der Eröffnung der Verfügung (bzw. des Einspracheentscheides) einzureichen, wobei vorliegend der Fristenstillstand vom 15. Juli bis und mit dem 15. August (Art. 38 Abs. 4 Bst. b ATSG) zu berücksichtigen ist. Wann die Verfügung vom 4. Juni 2009 eröffnet wurde, geht aus den Akten nicht hervor und lässt sich heute nicht mehr feststellen. Der Beschwerdeführer hat jedoch hinreichend klar bestätigt, dass er die Frist zur Erhebung einer Beschwerde verpasst habe (vgl. IV-act. 68 und 69) und deshalb ein Gesuch um Wiederherstellung der Frist gestellt.</w:t>
      </w:r>
    </w:p>
    <w:p>
      <w:r>
        <w:rPr>
          <w:b/>
        </w:rPr>
        <w:t>E. 2.2.5</w:t>
      </w:r>
    </w:p>
    <w:p>
      <w:r>
        <w:t>Nach Art. 24 Abs. 1 VwVG wird eine Frist wiederhergestellt, wenn der Gesuchsteller (oder sein Vertreter) unverschuldeterweise abgehal­ten worden ist, binnen Frist zu handeln, sofern er unter Angabe des Grundes innert 30 Tagen nach Wegfall des Hindernisses darum ersucht und die versäumte Rechtshandlung nachholt. Die Rechtsprechung zur Wiederherstellung der Frist ist allgemein (sehr) restriktiv (André Moser/Michael Beusch/Lorenz Kneubühler, Prozessieren vor dem Bundesverwaltungsgericht, Basel 2008, S. 71 Rz. 2.139). Als unverschuldet gilt ein Versäumnis nur dann, wenn dafür objektive Gründe vorliegen und der Partei beziehungsweise der Vertretung keine Nachlässigkeit vorgeworfen werden kann. Ist die Verspätung durch den Vertreter verschuldet, muss sich der Vertretene das Verschulden desselben anrechnen lassen; das Gleiche gilt beim Beizug einer Hilfsperson (Moser/Beusch/Kneubühler, S. 72 Rz. 2.144). Im Interesse der Rechtssicherheit und eines geordneten Verfahrens darf ein Hinderungsgrund nicht leichthin angenommen werden. Es sind daher nur solche Gründe als erheblich zu betrachten, die der Partei auch bei Anwendung der üblichen Sorgfalt die Wahrung ihrer Interessen verunmöglicht oder unzumutbar erschwert hätten (Moser/Beusch/Kneubüh­ler, S. 71 Rz. 2.140). Als unverschuldete Hindernisse hat die Rechtsprechung etwa Naturkatastrophen, obligatorischen Militärdienst oder plötzliche schwere Erkrankungen anerkannt, wobei die Verhinderung derart unvorhergesehen auftreten muss, dass es nicht mehr möglich ist, die Vornahme der geforderten Handlung durch eine Drittperson zu bewirken. Nicht als Wiederherstellungsgründe anerkennt die Rechtsprechung insbesondere organisatorische Unzulänglichkeiten, Arbeitsüberlastung, Ferienabwesenheit oder Unkenntnis der gesetzlichen Vorschriften (zum Ganzen: Urteil BVGer C-1447/2012 vom 5. Februar 2013 mit Hinweien).</w:t>
      </w:r>
    </w:p>
    <w:p>
      <w:r>
        <w:rPr>
          <w:b/>
        </w:rPr>
        <w:t>E. 2.2.6</w:t>
      </w:r>
    </w:p>
    <w:p>
      <w:r>
        <w:t>Der Beschwerdeführer führte zur Begründung seiner Verspätung an, in seinem entlegenen Dorf habe ihm niemand die Verfügung (und den Vorbescheid vom 23. Februar 2009) übersetzen können und er sei aus gesundheitlichen und ökonomischen Gründen nicht in der Lage gewesen, nach Zagreb - ins Büro des Versicherungsträgers - zu reisen. Zudem sei er davon ausgegangen, dass der schweizerische - wie sein heimatlicher - Sozialversicherungsträger eine (vollständige) Invalidität feststellen würde (vgl. IV-act. 68). Damit machte der Beschwerdeführer keine von der Rechtsprechung anerkannten Wiederherstellungsgründe geltend. Weder seine Vorbringen noch die medizinischen Akten lassen Anhaltspunkte dafür erkennen, dass er aus gesundheitlichen Gründen nicht mehr in der Lage gewesen sein könnte, eine Drittperson mit der Wahrung seiner Interessen zu beauftragen. Dabei ist auch zu berücksichtigen, dass ihm der Inhalt der Verfügung vom 4. Juni 2009 bereits seit dem Vorbescheid (vom 23. Februar 2009) bekannt war.</w:t>
      </w:r>
    </w:p>
    <w:p>
      <w:r>
        <w:rPr>
          <w:b/>
        </w:rPr>
        <w:t>E. 2.2.7</w:t>
      </w:r>
    </w:p>
    <w:p>
      <w:r>
        <w:t>Demnach wäre auf die verspätet eingereichte Beschwerde nicht einzutreten gewesen. Die Verfügung vom 4. Juni 2009 ist somit in Rechtskraft erwachsen, weshalb sich die Beschwerde vom 11. Juni 2010 nur gegen die Verfügung vom 4. Mai 2010, mit welcher die Vorinstanz auf die Neuanmeldung nicht eingetreten ist, richten kann.</w:t>
      </w:r>
    </w:p>
    <w:p>
      <w:r>
        <w:rPr>
          <w:b/>
        </w:rPr>
        <w:t>E. 2.3</w:t>
      </w:r>
    </w:p>
    <w:p>
      <w:r>
        <w:t>Die übrigen Eintretensvoraussetzungen (vgl. Art. 48 ff. VwVG) sind zweifellos erfüllt.</w:t>
      </w:r>
    </w:p>
    <w:p>
      <w:r>
        <w:rPr>
          <w:b/>
        </w:rPr>
        <w:t>E. 3.1</w:t>
      </w:r>
    </w:p>
    <w:p>
      <w:r>
        <w:t>Wurde eine Rente wegen eines zu geringen Invaliditätsgrades verweigert, so wird nach Art. 87 Abs. 4 der Verordnung vom 17. Januar 1961 über die Invalidenversicherung (IVV, SR 831.201) eine neue Anmeldung nur geprüft, wenn die Voraussetzungen gemäss Abs. 3 dieser Bestimmung erfüllt sind. Demnach ist im Leistungsbegehren gleich wie im Revisionsgesuch glaubhaft zu machen, dass sich der Grad der Invalidität der versicherten Person in einer für den Anspruch erheblichen Weise geändert hat.</w:t>
      </w:r>
    </w:p>
    <w:p>
      <w:r>
        <w:rPr>
          <w:b/>
        </w:rPr>
        <w:t>E. 3.1.1</w:t>
      </w:r>
    </w:p>
    <w:p>
      <w:r>
        <w:t>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Die Verwaltung nach Eingang einer Neuanmeldung demnach zunächst zu prüfen, ob die Vorbringen der versicherten Person überhaupt glaubhaft sind; verneint sie dies, so erledigt sie das Gesuch ohne weitere Abklärungen durch Nichteintreten (Urteil BGer I 489/05 vom 4. April 2007 E. 4.3, Urteil BGer 9C_68/2007 vom 19. Oktober 2007 E. 3.3). Für die Glaubhaftmachung genügt es, wenn für den geltend gemachten rechtserheblichen Sachumstand wenigstens gewisse Anhaltspunkte bestehen, auch wenn durchaus noch mit der Möglichkeit zu rechnen ist, bei eingehender Abklärung werde sich die behauptete Sachverhaltsänderung nicht erstellen lassen (Urteil BGer 9C_838/2011 vom 28. Februar 2012 E. 3.3.2 mit Hinweisen). Je nachdem, ob die frühere Verfügung nur kurze oder schon längere Zeit zurückliegt, sind an die Glaubhaftmachung höhere oder weniger hohe Anforderungen zu stellen (Ulrich Meyer, Rechtsprechung des Bundesgerichts zum IVG, 2. Aufl., Zürich 2010, S. 398 f.).</w:t>
      </w:r>
    </w:p>
    <w:p>
      <w:r>
        <w:rPr>
          <w:b/>
        </w:rPr>
        <w:t>E. 3.1.2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 ist die unterschiedliche Beurteilung eines im Wesentlichen unverändert gebliebenen Sachver­haltes unerheblich (vgl. Urteil BGer 9C_928/2010 vom 7. Februar 2011 E. 3.2, Urteil BGer 9C_552/2007 vom 17. Januar 2008 E. 3.1.2; SVR 2004 IV Nr. 5 S. 13 E. 2 [I 574/02]).</w:t>
      </w:r>
    </w:p>
    <w:p>
      <w:r>
        <w:rPr>
          <w:b/>
        </w:rPr>
        <w:t>E. 3.2</w:t>
      </w:r>
    </w:p>
    <w:p>
      <w:r>
        <w:t>Aufgrund der im Verwaltungsverfahren eingereichten medizinischen Berichte bestehen zumindest gewisse Anhaltspunkte dafür, dass sich der Gesundheitszustand des Beschwerdeführers in der Zeit zwischen dem Erlass der 1. Verfügung (vom 4. Juni 2009) bis zum vorliegend angefochtenen Entscheid (vom 4. Mai 2010) in anspruchserheblicher Weise verschlechtert haben könnte. Die von Dr. C._______ (Spital D._______, Institut für Orthopädie) in seinem Bericht vom 10. Dezember 2009 aufgeführten Diagnosen sind nicht identisch mit denjenigen in früheren Berichten kroatischer Ärzte und es wird eine höhere Arbeitsunfähigkeit von 90% (früher 70%) attestiert (vgl. IV-act. 74 und 48). Im RAD-Bericht vom 22. April 2010 wird der vom Beschwerdeführer eingereichte Bericht vom 10. Dezember 2009 mit keinem Wort erwähnt, weshalb nicht klar ist, ob und wie der RAD-Arzt diesen gewürdigt hat.</w:t>
      </w:r>
    </w:p>
    <w:p>
      <w:r>
        <w:rPr>
          <w:b/>
        </w:rPr>
        <w:t>E. 3.3</w:t>
      </w:r>
    </w:p>
    <w:p>
      <w:r>
        <w:t>Demnach hat der Beschwerdeführer im Verwaltungsverfahren eine anspruchserhebliche Veränderung des Invaliditätsgrads zumindest glaub­haft gemacht, weshalb die Vorinstanz zu Unrecht nicht auf die Neuanmeldung eingetreten ist. Die Beschwerde ist daher in dem Sinne gutzuheissen, dass die angefochtene Verfügung aufzuheben und die Sache an die Vorinstanz zurückzuweisen ist, damit sie auf das neue Gesuch eintrete und dieses materiell prüfe.</w:t>
      </w:r>
    </w:p>
    <w:p>
      <w:r>
        <w:rPr>
          <w:b/>
        </w:rPr>
        <w:t>E. 4.1</w:t>
      </w:r>
    </w:p>
    <w:p>
      <w:r>
        <w:t>Der obsiegende Beschwerdeführer hat keine Verfahrenskosten zu tragen (vgl. Art. 63 Abs. 1 VwVG). Sein Gesuch um Gewährung der unentgeltlichen Rechtspflege (Erlass der Verfahrenskosten) ist daher gegenstandslos geworden. Der Vorinstanz werden keine Verfahrenskosten auferlegt (vgl. Art. 63 Abs. 1 VwVG). Dem Beschwerdeführer ist der geleistete Kostenvorschuss nach Eintritt der Rechtskraft des vorliegenden Urteils zurückzuerstatten.</w:t>
      </w:r>
    </w:p>
    <w:p>
      <w:r>
        <w:rPr>
          <w:b/>
        </w:rPr>
        <w:t>E. 4.2</w:t>
      </w:r>
    </w:p>
    <w:p>
      <w:r>
        <w:t>Dem nicht anwaltlich vertretenen Beschwerdeführer sind keine verhältnismässig hohe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