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C-4955/2013 vom 21. Oktober 2014</w:t>
      </w:r>
    </w:p>
    <w:p>
      <w:r>
        <w:t>Bundesverwaltungsgericht, 2014-10-21, FR</w:t>
      </w:r>
    </w:p>
    <w:p>
      <w:r>
        <w:rPr>
          <w:b/>
        </w:rPr>
        <w:t xml:space="preserve">Quelle: </w:t>
      </w:r>
      <w:r>
        <w:t>https://mcp.opencaselaw.ch/entscheid/bvger_C-4955_2013</w:t>
      </w:r>
    </w:p>
    <w:p>
      <w:r>
        <w:t>FR: TAF C-4955/2013 du 21 octobre 2014</w:t>
      </w:r>
    </w:p>
    <w:p>
      <w:r>
        <w:t>IT: TAF C-4955/2013 del 21 ottobre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déterminants selon la jurisprudence, le Tribunal de céans doit se limiter à examiner la situation de fait existant jusqu'à la date de la décision attaquée (ATF 130 V 4450 consid. 1.2).</w:t>
      </w:r>
    </w:p>
    <w:p>
      <w:r>
        <w:rPr>
          <w:b/>
        </w:rPr>
        <w:t>E. 3</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4</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de trois années et remplit, partant, la condition de la durée minimale de cotisations. Il reste dès lors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6.1</w:t>
      </w:r>
    </w:p>
    <w:p>
      <w:r>
        <w:t>La recourante poursuit certes son activité lucrative auprès de son ancien employeur, mais à un nouveau poste de travail moins bien rémunéré. De plus elle estime que cette nouvelle activité n'est plus exigible qu'à 30 % suite aux problèmes d'épaule résultant de l'accident du 5 mars 2010.</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dans la décision du 25 juin 2013, l'OAIE n'a octroyé plus qu'un quart de rente à l'assurée à compter du 1er mars 2013 parce qu'il a estimé qu'une activité adaptée aux problèmes d'épaule était exigible à 100 % avec une perte de gain de 47 %. L'assurée, quant à elle, estime qu'une activité adaptée n'est plus exigible qu'à 30 %.</w:t>
      </w:r>
    </w:p>
    <w:p>
      <w:r>
        <w:rPr>
          <w:b/>
        </w:rPr>
        <w:t>E. 8.2</w:t>
      </w:r>
    </w:p>
    <w:p>
      <w:r>
        <w:t>Compte tenu des pièces médicales versées au dossier, le Tribunal de céans ne peut que se rallier à l'avis de l'autorité inférieure selon laquelle l'assurée, à cause de ses problèmes d'épaule, est fortement handicapée dans son ancienne activité de secrétaire, mais garde une capacité de travail à plein temps dans une activité strictement adaptée. L'assurée fait certes valoir que son activité actuelle de réceptionniste et commis n'est exigible qu'à 30 % à 40 % selon le spécialiste de la médecine du travail de son employeur, mais le Tribunal constate, sur la base de la description de ce nouveau poste, qu'il n'est pas parfaitement adapté aux problèmes d'épaule de l'assurée.</w:t>
      </w:r>
    </w:p>
    <w:p>
      <w:r>
        <w:rPr>
          <w:b/>
        </w:rPr>
        <w:t>E. 8.3</w:t>
      </w:r>
    </w:p>
    <w:p>
      <w:r>
        <w:t>La recourante demande une expertise médicale judiciaire. Le Tribunal constate que tous les médecins qui se sont exprimé dans ce cas s'accordent à dire que l'assurée présente des limitations fonctionnelles du membre supérieur gauche et qu'une activité excluant l'emploi du membre supérieur gauche est adaptée et exigible à 100 %. C'est la raison pour laquelle l'assurée est depuis fin 2011 capable de conduire un véhicule avec boîte de vitesse automatique dont le surprix a été financé par l'assurance-invalidité (AI pce 49). Les doutes émis concernant la réalisation pratique d'une activité excluant l'emploi du membre supérieur gauche ou la conjoncture actuelle sortent du champ médical et ne doivent donc être retenus que lors de la comparaison des revenus avec et sans invalidité. L'activité de réceptionniste et commis exercée actuellement par l'assurée n'étant pas strictement adaptée, il apparaît logique que le spécialiste de la médecine du travail estime que cette activité soit exigible à 30 % à 40 %. Le Tribunal considère donc par appréciation anticipée des preuves qu'une expertise médicale supplémentaire est superflue et fait sienne l'appréciation retenue par l'autorité inférieure d'une capacité de travail à plein temps dans une activité strictement adaptée. Le Tribunal retient donc que l'assurée peut exercer une activité adaptée à plein temps.</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10.1</w:t>
      </w:r>
    </w:p>
    <w:p>
      <w:r>
        <w:t>En l'espèce il y a ainsi lieu de procéder à une évaluation de l'invalidité selon la méthode générale. En effet, l'intéressée exercerait aujourd'hui encore son ancienne activité lucrative si elle n'avait pas subi d'accident en mars 2010. Dans sa comparaison de salaires du 26 mars 2013, l'OAI-GE a retenu un salaire annuel sans invalidité de CHF 90'659.- et un salaire annuel d'invalide de CHF 47'915.- (après un abattement de 10 % sur le salaire de manoeuvre de CHF 53'239.-), ce qui correspond à un degré d'invalidité de 47,15 % (AI pce 80). L'assurée fait valoir un abattement de 15 % à 20 % au lieu de 10 %. Dans certains cas, le revenu d'invalidité, déterminé d'après les données statistiques, doit être réduit afin de tenir compte des circonstances personnelles et professionnelles du cas particulier (limitations liées au handicap, âge, années de service etc.). La hauteur de la réduction relève en premier lieu de l'office AI qui dispose pour cela d'un large pouvoir d'appréciation. La jurisprudence n'admet cependant pas de déduction globale supérieure à 25% (ATF 126 V 75 consid. 5). Le juge des assurances sociales ne peut, sans motif pertinent, substituer son appréciation à celle de l'administration (ATF 126 cité consid. 6). En l'occurrence, la question de savoir si un abattement de 10 % est acceptable puisque l'assurée présente certes des limitations fonctionnelles, mais n'a pas d'autres handicaps comme la langue ou le permis de travail, étant de nationalité suisse, ou si cet abattement doit être augmenter à 15 ou 20 %, peut rester ouverte. En effet, le Tribunal considère qu'il n'est pas judicieux de retenir le salaire pour le personnel sans formation (manoeuvre) de l'enquête suisse des salaires (ESS) puisque l'assurée dispose d'un certificat d'aptitude professionnelle, a suivi des cours complémentaires (AI pce 22) et réalisait sans invalidité un salaire largement plus élevé que celui de la moyenne des colonnes 1 et 2 de l'ESS. Il faut donc retenir pour le salaire avec invalidité le montant de la colonne 3 de l'ESS, à savoir CHF 64'684.- (en tenant compte de l'indexation et d'un temps de travail hebdomadaire de 41,6 heures). Même après un abattement de 25 % (maximum possible selon la jurisprudence du Tribunal fédéral), le salaire avec invalidité serait de CHF 48'513.-, donc légèrement plus élevé que le montant de CHF 47'915.- retenu dans la décision attaquée, conduirait à une perte de gain de CHF 42'146.- et un degré d'invalidité de 46,49 % et n'ouvrirait pas le droit à une demi-rente d'invalidité. Le degré d'invalidité dans une activité adaptée étant supérieur à 40 %, mais inférieur à 50 %, le recours doit être rejeté et la décision attaquée confirmée.</w:t>
      </w:r>
    </w:p>
    <w:p>
      <w:r>
        <w:rPr>
          <w:b/>
        </w:rPr>
        <w:t>E. 10.2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11.2</w:t>
      </w:r>
    </w:p>
    <w:p>
      <w:r>
        <w:t>Les frais de procédure, fixés à 400 francs, sont mis à la charge de la recourante (art. 63 al. 1 PA, applicable par le truchement de l'art. 37 LTAF). Ils sont compensés par l'avance de frais du même montant dont il s'est acquittée au cours de l'instruction.</w:t>
      </w:r>
    </w:p>
    <w:p>
      <w:r>
        <w:rPr>
          <w:b/>
        </w:rPr>
        <w:t>E. 11.3</w:t>
      </w:r>
    </w:p>
    <w:p>
      <w:r>
        <w:t>Il n'est pas alloué d'indemnité de dépens (art. 7 al. 3 du règlement du 21 février 2008 concernant les frais, dépens et indemnités fixés par le Tribunal administratif fédéral [FITAF, RS 173. 320.2]). (dispositif à la page suivamte)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