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C-4953/2010 vom 24. August 2012</w:t>
      </w:r>
    </w:p>
    <w:p>
      <w:r>
        <w:t>Bundesverwaltungsgericht, 2012-08-24, DE</w:t>
      </w:r>
    </w:p>
    <w:p>
      <w:r>
        <w:rPr>
          <w:b/>
        </w:rPr>
        <w:t xml:space="preserve">Quelle: </w:t>
      </w:r>
      <w:r>
        <w:t>https://mcp.opencaselaw.ch/entscheid/bvger_C-4953_2010</w:t>
      </w:r>
    </w:p>
    <w:p>
      <w:r>
        <w:t>FR: TAF C-4953/2010 du 24 août 2012</w:t>
      </w:r>
    </w:p>
    <w:p>
      <w:r>
        <w:t>IT: TAF C-4953/2010 del 24 agosto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w:t>
      </w:r>
    </w:p>
    <w:p>
      <w:r>
        <w:rPr>
          <w:b/>
        </w:rPr>
        <w:t>E. 3.1</w:t>
      </w:r>
    </w:p>
    <w:p>
      <w:r>
        <w:t>Der Beschwerdeführer beantragt, er sei als Partei und sein Gastgeber M._______ als Zeuge zu befragen. Gemäss Art. 33 VwVG sind von den Parteien angebotene Beweise abzunehmen, sofern diese geeignet sind, den rechtserheblichen Sachverhalt zu erhellen. Kommt die Behörde indessen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w:t>
      </w:r>
    </w:p>
    <w:p>
      <w:r>
        <w:rPr>
          <w:b/>
        </w:rPr>
        <w:t>E. 3.2</w:t>
      </w:r>
    </w:p>
    <w:p>
      <w:r>
        <w:t>Der für diesen Entscheid erhebliche Sachverhalt erschliesst sich, wie nachfolgend aufgezeigt wird, in hinreichender Weise aus den Akten. Von den beantragten Einvernahmen kann daher in antizipierter Beweiswürdigung abgesehen werden. Das Verwaltungsverfahren ist vom Grundsatz der Schriftlichkeit geprägt. Ein Anspruch auf mündliche Anhörung besteht grundsätzlich nicht. Eine solche Anhörung ist auch im vorliegenden Fall nicht durchzuführen, weil das persönliche Erscheinen für die Beurteilung der Streitsache nicht von unmittelbarer Bedeutung ist (vgl. dazu BGE 134 I 140 E. 5.3 S. 148 sowie ANDRÉ MOSER/MICHAEL BEUSCH/LORENZ KNEUBÜHLER, Prozessieren vor dem Bundesverwaltungsgericht, Lausanne/Zürich/Bern 2008, Rz. 3.85/3.86 S. 143 f.). Der Beschwerdeführer hat sich zu den relevanten strittigen Fragen wiederholt schriftlich äussern können. Auch das beigelegte Schreiben seines Gastgebers wird zur Kenntnis genommen. Den Beweisanträgen des Beschwerdeführers ist aus diesen Gründen nicht stattzugeben.</w:t>
      </w:r>
    </w:p>
    <w:p>
      <w:r>
        <w:rPr>
          <w:b/>
        </w:rPr>
        <w:t>E. 4.1</w:t>
      </w:r>
    </w:p>
    <w:p>
      <w:r>
        <w:t>Die Parteien haben Anspruch auf rechtliches Gehör (Art. 29 Abs. 2 BV; Art. 29 ff. VwVG). Vor einer allfälligen inhaltlichen Beurteilung ist in formeller Hinsicht zu prüfen, ob die Vorinstanz mit dem Erlass der angefochtenen Verfügung den Gehörsanspruch gewahrt hat. Diese Prüfung erfolgt von Amtes wegen (vgl. Alfred Kölz/Isabelle Häner, Verwaltungsverfahren und Verwaltungsrechtspflege des Bundes, 2. Aufl., Zürich 1998, S. 46); seitens des - nicht anwaltlich vertretenen - Beschwerdeführers wurde keine entsprechende Rüge erhoben.</w:t>
      </w:r>
    </w:p>
    <w:p>
      <w:r>
        <w:rPr>
          <w:b/>
        </w:rPr>
        <w:t>E. 4.2</w:t>
      </w:r>
    </w:p>
    <w:p>
      <w:r>
        <w:t>Der Anspruch auf rechtliches Gehör umfasst eine Anzahl verschiedener verfassungsrechtlicher 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Jörg Paul Müller/Markus Schefer, Grundrechte in der Schweiz, 4. Aufl., Bern 2008, S. 846 ff.). Dazu gehört das Recht auf vorgängige Äusserung und Anhörung, welches den Betroffenen einen Einfluss auf die Ermittlung des wesentlichen Sachverhalts sichert. Die entscheidende Behörde muss diese Äusserungen tatsächlich zur Kenntnis nehmen und sich damit in der Entscheidfindung und -begründung sachgerecht auseinandersetzen. Diese Prüfungs- und Berücksichtigungspflicht liegt bereits Art. 30 VwVG zu Grunde, kommt aber besonders deutlich in Art. 32 Abs. 1 VwVG zum Ausdruck, der bestimmt, dass die Behörde alle erheblichen und rechtzeitigen Vorbringen der Parteien würdigt, bevor sie verfügt (vgl. BERNHARD WALDMANN/JÜRG BICKEL, in: Praxiskommentar VwVG, Waldmann/Weissen­berger [Hrsg.], Zürich 2009, Art. 29 N 80 ff. u. Art. 32 N 7 ff.; KÖLZ/HÄNER, a.a.O., S. 119). Daraus folgt schliesslich die Pflicht der Behörden, ihren Entscheid zu begründen (vgl. BVGE 2007/21 E. 10.2 mit Hinweisen).</w:t>
      </w:r>
    </w:p>
    <w:p>
      <w:r>
        <w:rPr>
          <w:b/>
        </w:rPr>
        <w:t>E. 4.3</w:t>
      </w:r>
    </w:p>
    <w:p>
      <w:r>
        <w:t>Aus den Akten des kantonalen Migrationsamts geht Folgendes hervor: Die Kantonspolizei X._______ informierte den Beschwerdeführer am 7. Juni 2010, dass die zuständige Behörde gegen ihn eine ausländerrechtliche Fernhaltemassnahme aussprechen könne, und gab ihm Gelegenheit, sich dazu äussern (vgl. Frage 21 des Protokolls der Einvernahme vom 7. Juni 2010). Der Beschwerdeführer antwortete, er habe dies verstanden. Tags darauf beantragte das Migrationsamt der Vorinstanz per E-Mail die Verhängung eines Einreiseverbots für den Beschwerdeführer. In diesem Antrag wurde auf eine ZEMIS-Nummer verwiesen und ausgeführt, dass der Beschwerdeführer verhaftet worden sei, keinen Aufenthaltsstatus im Schengen-Raum habe und in sein Heimatland zurückgeführt werde. Bezüglich Sachverhalt und Bestrafung wurde auf den der E Mail in Kopie angehängten Strafbefehl verwiesen. Sodann wurde erwähnt, dass das rechtliche Gehör gewährt worden sei. Das entsprechende Protokoll ging jedoch erst am 16. Juni 2010, d.h. rund eine Woche nach Erlass der angefochtenen Verfügung vom 8. Juni 2010, bei der Vorinstanz ein. Diese durfte bei Erlass des Einreiseverbotes angesichts der erhaltenen Zusicherung grundsätzlich darauf vertrauen, dass die kantonalen Behörden dem Beschwerdeführer eine Äusserungsmöglichkeit eingeräumt hatten. Hingegen wusste die Vorinstanz nicht, ob - und wenn ja, mit welchem Inhalt - sich der Beschwerdeführer zur Sache geäussert hatte. Die Vorinstanz wäre gehalten gewesen, entweder dem Beschwerdeführer selber Gelegenheit zu geben, sich zum laufenden Verfahren zu äussern und diese Äusserung zur Kenntnis zu nehmen, oder aber sie hätte mit der Verhängung des Einreiseverbotes zuwarten müssen, bis das besagte Protokoll bei ihr eingetroffen war. Eine Konstellation gemäss Art. 30 Abs. 2 VwVG, welche ein Absehen von der vorgängigen Anhörung erlaubt hätte, lag nicht vor (vgl. dazu auch das Urteil des Bundesverwaltungsgerichts C-913/2009 vom 24. Juni 2011 E. 5.2).</w:t>
      </w:r>
    </w:p>
    <w:p>
      <w:r>
        <w:rPr>
          <w:b/>
        </w:rPr>
        <w:t>E. 4.4</w:t>
      </w:r>
    </w:p>
    <w:p>
      <w:r>
        <w:t>Nach der bundesgerichtlichen Rechtsprechung ist der Anspruch auf rechtliches Gehör formeller Natur. Dessen Verletzung führt ungeachtet der Erfolgsaussichten der Beschwerde in der Sache selbst grundsätzlich zur Aufhebung der angefochtenen Verfügung (vgl. BGE 137 I 195 E. 2.2 S. 197 mit Hinweis). Eine Gehörsverletzung kann jedoch geheilt werden, wenn die unterbliebene Gewährung des rechtlichen Gehörs (also etwa die unterlassene Anhörung bzw. deren Kenntnisnahme) in einem Rechtsmittelverfahren nachgeholt wird, in dem die Beschwerdeinstanz mit der gleichen Prüfungsbefugnis entscheidet wie die untere Instanz. Die Heilung ist aber in der Regel ausgeschlossen, wenn es sich um eine besonders schwerwiegende Verletzung der Parteirechte handelt, zudem darf dem Beschwerdeführer kein Nachteil erwachsen und die Heilung soll die Ausnahme bleiben (vgl. BGE 138 III 225 E. 3.3 S. 230, BGE 137 I 195 E. 2.3.2 S. 197 f. und BGE 135 I 279 E. 2.6 S. 285 ff. je mit Hinweisen; BVGE 2009/61 E. 4.1.3. S. 851; Ulrich Häfelin/Georg Müller/Felix Uhlmann, Allgemeines Verwaltungsrecht, 6. Aufl., Zürich/Basel/Genf 2010, Rz. 1710 f.). Diese Voraussetzungen sind vorliegend erfüllt. Das Bundesverwaltungsgericht hat als Beschwerdeinstanz volle Kognition. Der Rechtsvertreter des Beschwerdeführers machte zudem keine Verletzung des Gehörsanspruchs geltend. Es handelt sich denn auch nicht um eine besonders schwerwiegende Verletzung des rechtlichen Gehörs. Wohl trifft es zu, dass das Protokoll der Vorinstanz erst nach der Anordnung des Einreiseverbots zugestellt wurde. Die Vorinstanz wusste jedoch immerhin, dass die kantonalen Behörden den Beschwerdeführer angehört hatten, und konnte sich an Hand der Ausführungen im Antrag ein klares Bild der Sachlage machen, bevor sie das Einreiseverbot erliess. Unter diesen Umständen würde die Rückweisung der Sache an die Vorinstanz zum Neuentscheid einen prozessualen Leerlauf darstellen. Darauf ist zu verzichten. Die Verletzung des rechtlichen Gehörs im vorinstanzlichen Verfahren wird als geheilt betrachtet.</w:t>
      </w:r>
    </w:p>
    <w:p>
      <w:r>
        <w:rPr>
          <w:b/>
        </w:rPr>
        <w:t>E. 5.1</w:t>
      </w:r>
    </w:p>
    <w:p>
      <w:r>
        <w:t>Auf den 1. Januar 2011 trat als Folge der Weiterentwicklung des Schengen-Besitzstandes eine neue Fassung von Art. 67 AuG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Die Vorinstanz stützte das zu prüfende Einreiseverbot auf die Art. 67 Abs. 1 Bst. a und c AuG in der Fassung vom 1. Januar 2008 (AS 2007 5457). Die letztgenannte Bestimmung, nach der ein Einreiseverbot gegenüber einer Person verhängt werden konnte, welche ausgeschafft worden war, wurde im Zuge der Gesetzesrevision gestrichen. Dies geschah mit der Begründung, es müsse fortan gestützt auf den neuen Art. 67 Abs. 1 AuG "in diesen Fällen grundsätzlich immer ein Einreiseverbot verhängt werden (BBl 2009 8896 ad Art. 67 Abs. 2 in fine). Der neue Art. 67 Abs. 1 Bst. a AuG ist demnach anwendbar, wobei aufgrund des Rückwirkungsverbots die erst nach Erlass der angefochtenen Verfügung ins Gesetz aufgenommene starke Einschränkung des Entschliessungsermessens nicht vorgenommen werden darf (vgl. BBl 2009 8896 ad Art. 67 Abs. 1 AuG). Die zuvor in Art. 67 Abs. 1 Bst. a AuG geregelte Fernhaltung wegen Gefährdung oder Verletzung der öffentlichen Sicherheit und Ordnung wurde unverändert in Abs. 2 Bst. a der neuen Norm übernommen. Diesbezüglich kann vorbehaltlos auf das neue Recht abgestellt werden.</w:t>
      </w:r>
    </w:p>
    <w:p>
      <w:r>
        <w:rPr>
          <w:b/>
        </w:rPr>
        <w:t>E. 5.3</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des Ausländerrechts fallen unter diese Begriffsbestimmung und können als solche ein Einreiseverbot nach sich ziehen (vgl. BBl 2002 3813). Die Verhängung eines Einreiseverbots knüpft an das Bestehen eines Risikos einer künftigen Gefährdung an. Es ist daher gestützt auf die gesamten Umstände des Einzelfalls eine entsprechende Prognose zu stellen. Dabei ist naturgemäss in erster Linie das vergangene Verhalten der betroffenen Person zu berücksichtigen (vgl. dazu ausführlich das Urteil des Bundesverwaltungsgerichts C 820/2009 vom 9. März 2011 E. 5 mit Hinweisen).</w:t>
      </w:r>
    </w:p>
    <w:p>
      <w:r>
        <w:rPr>
          <w:b/>
        </w:rPr>
        <w:t>E. 5.4</w:t>
      </w:r>
    </w:p>
    <w:p>
      <w:r>
        <w:t>Wird gegen eine Person, die nicht das Bürgerrecht eines Mitglied­staates der Europäischen Union besitzt (Drittstaatsangehörige), ein Ein­reiseverbot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Kompetenz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6.1</w:t>
      </w:r>
    </w:p>
    <w:p>
      <w:r>
        <w:t>Die Vorinstanz begründete das Einreiseverbot primär damit, dass der Beschwerdeführer eine nicht bewilligte Erwerbstätigkeit ausgeübt hatte (Prostitution). Mit Strafbefehl vom 7. Juni 2010 ist der Beschwerdeführer des Vergehens gegen Art. 115 Abs. 1 Bst. c AuG für schuldig befunden und mit einer Geldstrafe von 30 Tagessätzen bestraft worden. Entgegen der Auffassung des Beschwerdeführers ist für das vorliegende Verfahren nicht von Belang, dass das Einreiseverbot erlassen wurde, bevor dieser Strafbefehl in Rechtskraft erwachsen war.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Entsprechend ist die Behörde in der Regel nicht gehalten, den rechtskräftigen Abschluss eines Strafverfahrens abzuwarten (vgl. Urteil des Bundesverwaltungsgerichts C-8544/2007 vom 15. Oktober 2009 E. 5.2).</w:t>
      </w:r>
    </w:p>
    <w:p>
      <w:r>
        <w:rPr>
          <w:b/>
        </w:rPr>
        <w:t>E. 6.2</w:t>
      </w:r>
    </w:p>
    <w:p>
      <w:r>
        <w:t>Ein mit Erwerbstätigkeit verbundener Aufenthalt in der Schweiz ist grundsätzlich und ungeachtet seiner Dauer bewilligungspflichtig. Als Erwerbstätigkeit gilt jede üblicherweise gegen Entgelt ausgeübte unselbständige oder selbständige Tätigkeit, selbst wenn sie unentgeltlich erfolgt (Art. 11 Abs. 1 und 2 AuG). Ohne Belang ist, in welchem zeitlichen Ausmass diese Tätigkeit ausgeübt wird. Das wird in Art. 1a Abs. 1 VZAE ausdrücklich für die unselbständige Erwerbstätigkeit festgehalten, gilt jedoch allgemein. Der Beschwerdeführer gab im Rahmen der polizeilichen Einvernahme vom 7. Juni 2010 zu Protokoll, dass er in der Schweiz der Prostitution nachgegangen war (vgl. Antwort auf Frage 18: "Ich habe das nur wenig gemacht. Es ist mir schon klar, dass ich das als Tourist nicht machen darf. Ich habe das Geld aber auch wieder ausgegeben hier. ). Er anerkannte, dass er deshalb ohne Bewilligung eine Erwerbstätigkeit ausgeübt und gegen das Ausländergesetz verstossen hatte (vgl. Antwort auf Frage 20). Die von der Kantonspolizei rapportierten Umstände der Festnahme sind sodann eindeutig (vgl. den Rapport vom 7. Juni 2010, S. 1 ff.). Aufgrund der vorliegenden Akten ist demnach klar erstellt, dass der Beschwerdeführer in der Zeit zwischen dem 15. April 2010 bis zu seiner Verhaftung am 7. Juni 2010 der entgeltlichen Prostitution nachging, mithin ohne Bewilligung eine Erwerbstätigkeit ausübte und auf diese Weise gegen die öffentliche Sicherheit und Ordnung verstossen hat.</w:t>
      </w:r>
    </w:p>
    <w:p>
      <w:r>
        <w:rPr>
          <w:b/>
        </w:rPr>
        <w:t>E. 6.3</w:t>
      </w:r>
    </w:p>
    <w:p>
      <w:r>
        <w:t>In Bezug auf die Einwendungen des Beschwerdeführers gegen das verfügte Einreiseverbot ist Folgendes festzuhalten: Die nachträglich im Beschwerdeverfahren vorgebrachte Behauptung, die Aussagen gegenüber der Kantonspolizei X._______ seien unter Druck und wegen Sprach­unklarheiten erfolgt, ist als nicht glaubhaft einzustufen. Der Beschwerdeführer wurde von der Polizei am 7. Juni 2010 mittels Dolmetscher zur Sache befragt. Mit dessen Hilfe konnte er im Anschluss an die Befragung das Protokoll dieser Einvernahme durchsehen. Der Beschwerdeführer unterzeichnete jede Seite des Protokolls, brachte verschiedene Ergänzungen an und nahm Streichungen vor. Es bestehen keinerlei Anhaltspunkte, wonach im Rahmen der Befragung seitens der Polizei widerrechtliche Methoden angewandt worden wären. Namentlich die Behauptung, die involvierten Polizeibeamten hätten vom Beschwerdeführer Bestechungsgelder verlangt, ist nicht glaubhaft. Auf die Rügen betreffend das angeblich widerrechtliche Strafverfahren und das angeblich unrechtmässige Handeln der Kantonspolizei X._______ ist an dieser Stelle indes nicht weiter einzugehen, weil das Anfechtungsobjekt in diesem Verfahren einzig das von der Vorinstanz erlassene Einreiseverbot ist (vgl. Häfelin/­Müller/Uhlmann, a.a.O., Rz. 1913 ff). Zu erwähnen ist einzig, dass die Polizei den Beschwerdeführer gemäss Protokoll auf das Recht, nächste Angehörige bzw. die diplomatische Vertretung zu informieren und eine Verteidigung zu bestellen, hingewiesen hat, der Beschwerdeführer aber auf beide Möglichkeiten verzichtete (vgl. die Antwort des Beschwerdeführers auf Frage 1: "Ich habe verstanden und werde aussagen ).</w:t>
      </w:r>
    </w:p>
    <w:p>
      <w:r>
        <w:rPr>
          <w:b/>
        </w:rPr>
        <w:t>E. 6.4</w:t>
      </w:r>
    </w:p>
    <w:p>
      <w:r>
        <w:t>Der Beschwerdeführer hat somit durch die Ausübung einer Erwerbstätigkeit ohne Besitz der erforderlichen Bewilligung unter dem Gesichtspunkt von Art. 67 Abs. 2 Bst. a AuG hinreichenden Anlass für die Verhängung eines Einreiseverbots gesetzt. Weiter musste der Beschwerdeführer ausgeschafft werden (vgl. Sachverhalt Bst. B), womit ein weiterer zureichender Grund für die Verhängung einer Fernhaltemassnahme vorliegt (vgl. Art. 67 Abs. 1 Bst. c AuG in der Fassung vom 1. Januar 2008 bzw. Art. 67 Abs. 1 Bst. a AuG in der Fassung vom 1. Januar 2011).</w:t>
      </w:r>
    </w:p>
    <w:p>
      <w:r>
        <w:rPr>
          <w:b/>
        </w:rPr>
        <w:t>E. 7.1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7.2</w:t>
      </w:r>
    </w:p>
    <w:p>
      <w:r>
        <w:t>Der Beschwerdeführer ging in der Schweiz ohne Bewilligung einer Erwerbstätigkeit nach. Als Folge davon wurde er mit einer bedingten Geldstrafe von 30 Tagessätzen bestraft, in Ausschaffungshaft gesetzt und nach Brasilien zurückgeführt. Aus dem manifestierten Verhalten des Beschwerdeführers wird auf eine Gefährdung der öffentlichen Ordnung geschlossen. Das Einreiseverbot hat in erster Linie präventiven Charakter, um einer weiteren illegalen Erwerbstätigkeit des Beschwerdeführers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Überdies liegt eine spezialpräventive Zielsetzung der Massnahme darin, dass sie den Betroffenen ermahnt, bei einer allfälligen künftigen Wiedereinreise in die Schweiz nach Ablauf der Dauer des Einreiseverbots die für ihn geltenden Regeln einzuhalten (vgl. Urteil des Bundesverwaltungsgerichts C-2771/2010 vom 3. Februar 2012 E. 6.1). Es besteht somit ein gewichtiges öffentliches Interesse an der befristeten Fernhaltung des Beschwerdeführers.</w:t>
      </w:r>
    </w:p>
    <w:p>
      <w:r>
        <w:rPr>
          <w:b/>
        </w:rPr>
        <w:t>E. 7.3</w:t>
      </w:r>
    </w:p>
    <w:p>
      <w:r>
        <w:t>Der Beschwerdeführer bringt keine besonderen persönlichen Interessen vor, welche es rechtfertigen würden, von einem Einreiseverbot abzusehen. Das dargelegte öffentliche Interesse fällt demgegenüber stark ins Gewicht. Die Fernhaltemassnahme wirkt im Übrigen nicht absolut. Den Betroffenen steht die Möglichkeit offen, aus wichtigen Gründen die zeitweilige Suspension der angeordneten Fernhaltemassnahme zu beantragen (Art. 67 Abs. 5 AuG), wobei diese praxisgemäss nur für eine kurze und klar begrenzte Zeit gewährt wird (vgl. das Urteil des Bundesverwaltungsgerichts C-3304/2009 vom 18. Januar 2012 E. 7.2 in fine mit Hinweis). Eine wertende Gewichtung der sich entgegenstehenden Interessen führt im vorliegenden Fall zum Ergebnis, dass das auf drei Jahre befristete Einreiseverbot sowohl vom Grundsatz her als auch in Bezug auf seine Dauer eine verhältnismässige und angemessene Massnahme zum Schutz der öffentlichen Sicherheit und Ordnung darstellt.</w:t>
      </w:r>
    </w:p>
    <w:p>
      <w:r>
        <w:rPr>
          <w:b/>
        </w:rPr>
        <w:t>E. 8</w:t>
      </w:r>
    </w:p>
    <w:p>
      <w:r>
        <w:t>Aus diesen Erwägungen ergibt sich, dass die angefochtene Verfügung im Ergebnis Bundesrecht nicht verletzt und den rechtserheblichen Sachverhalt richtig und vollständig feststellt; sie ist auch angemessen (vgl. Art. 49 VwVG). Die Beschwerde ist daher abzuweisen.</w:t>
      </w:r>
    </w:p>
    <w:p>
      <w:r>
        <w:rPr>
          <w:b/>
        </w:rPr>
        <w:t>E. 9</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