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C-4950/2008 vom 20. November 2009</w:t>
      </w:r>
    </w:p>
    <w:p>
      <w:r>
        <w:t>Bundesverwaltungsgericht, 2009-11-20, DE</w:t>
      </w:r>
    </w:p>
    <w:p>
      <w:r>
        <w:rPr>
          <w:b/>
        </w:rPr>
        <w:t xml:space="preserve">Quelle: </w:t>
      </w:r>
      <w:r>
        <w:t>https://mcp.opencaselaw.ch/entscheid/bvger_C-4950_2008</w:t>
      </w:r>
    </w:p>
    <w:p>
      <w:r>
        <w:t>FR: TAF C-4950/2008 du 20 novembre 2009</w:t>
      </w:r>
    </w:p>
    <w:p>
      <w:r>
        <w:t>IT: TAF C-4950/2008 del 20 novembre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Die Beschwerdeführer rügen in der Replik vom 6. Oktober 2008, sie hätten zu den Akten der kantonalen Migrationsbehörde nicht Stellung nehmen können. Dass die Vorinstanz sich beim Entscheid über die Einreisebewilligung auch auf Akten der kantonalen Migrationsbehörde abstützt, haben die Beschwerdeführer schon vor Erlass der angefochtenen Verfügung gewusst, hat doch das Ausländeramt des Kantons St. Gallen seine Abklärungen im Auftrag der Vorinstanz durchgeführt, was dem Beschwerdeführer mit Schreiben vom 3. Juli 2008 mitgeteilt worden ist. Ferner hat der Beschwerdeführer die beim Ausländeramt gemachten Angaben über den Aufenthaltszweck der Gesuchstellerin mit seiner Unterschrift bestätigt. Beide Beschwerdeführer haben zudem eine Verpflichtungserklärung unterzeichnet, bis zu einem Betrag von Fr. 30'000.- sämtliche ungedeckten Kosten im Zusammenhang mit dem Besuchsaufenthalt zu übernehmen. Sie haben demnach vor Erlass der angefochtenen Verfügung durchaus Stellung nehmen können, weshalb die Vorinstanz auch nicht das rechtliche Gehör verletzte, indem sie diese Akten bei ihrem Entscheid mitberücksichtigte.</w:t>
      </w:r>
    </w:p>
    <w:p>
      <w:r>
        <w:rPr>
          <w:b/>
        </w:rPr>
        <w:t>E. 4</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5</w:t>
      </w:r>
    </w:p>
    <w:p>
      <w:r>
        <w:t>Verfahren, die bei Inkrafttreten der Verordnung vom 22. Oktober 2008 über die Einreise und die Visumerteilung (VEV, SR 142.204) am 12. Dezember 2008 (Datum auch des Inkrafttretens des Abkommens vom 26. Oktober 2004 zwischen der Schweizerischen Eidgenossenschaft, der Europäischen Union und der Europäischen Gemeinschaft über die Assoziierung dieses Staates bei der Umsetzung, Anwendung und Entwicklung des Schengen-Besitzstandes [SAA, SR 0.360.268.1]) hängig sind, werden gemäss Art. 57 VEV nach neuem Recht fortgeführt (und damit insbesondere nach dem übergeordneten Schengen-Recht).</w:t>
      </w:r>
    </w:p>
    <w:p>
      <w:r>
        <w:rPr>
          <w:b/>
        </w:rPr>
        <w:t>E. 6.1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AuG, Art. 2 Abs. 1 VEV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6.2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7</w:t>
      </w:r>
    </w:p>
    <w:p>
      <w:r>
        <w:t>Gemäss Anhang I zur Verordnung (EG) Nr. 539/2001 des Rates vom 15. März 2001 (ABl. L 81 vom 21.03.2001, S. 1-7) unterliegt die Gesuchstellerin der Visumpflicht.</w:t>
      </w:r>
    </w:p>
    <w:p>
      <w:r>
        <w:rPr>
          <w:b/>
        </w:rPr>
        <w:t>E. 8.1</w:t>
      </w:r>
    </w:p>
    <w:p>
      <w:r>
        <w:t>Vorliegend ist zu überprüfen, ob die Vorinstanz unter Berücksichtigung der Verhältnisse im Herkunftsland und der persönlichen Umstände einen ermessensfreien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8.2</w:t>
      </w:r>
    </w:p>
    <w:p>
      <w:r>
        <w:t>Die Gesuchstellerin stammt aus der Dominikanischen Republik. Die Wirtschaft dieses Landes konnte sich zwar nach einer durch den Zusammenbruch dreier grosser Geschäftsbanken im Jahre 2003 verursachten schweren Krise - dank der Konsolidierungspolitik des im August 2004 gewählten (und im Mai 2008 wiedergewählten) Staatspräsidenten und Regierungschefs Leonel Fernàndez Reyna - in beeindruckender Kürze erholen. Beleg dafür ist, anknüpfend an die hohen Wachstumsraten in den 90er Jahren, das seit 2005 anhaltende Wirtschaftswachstum, welches - bei einer verhältnismässig niedrigen Inflationsrate von 5% - im Jahre 2006 mit 10,7% seinen Höhepunkt fand. Beeinflusst von der sich abschwächenden Weltwirtschaft kühlte sich die dominikanische Wirtschaft währen der letzten beiden Jahre jedoch wieder leicht ab. Bedingt durch die internationale Finanz- und Weltwirtschaftskrise zeichnet sich für das laufende Jahr ein Nullwachstum wenn nicht gar ein Rückgang ab. Festzustellen ist auch, dass die Transferzahlungen der im Ausland lebenden Dominikaner mit einem beträchtlichen Anteil - im Jahr 2007 waren es 7,4% - zum Bruttoinlandprodukt beitragen (vgl. die Länder- und Reiseinformationen auf der Website des Auswärtigen Amtes, Länder- und Reiseinformationen &gt; Dominikanische Republik &gt; Wirtschaft, &lt;http://www.auswaertiges-amt.de&gt;, Stand: Oktober 2009, besucht im November 2009).</w:t>
      </w:r>
    </w:p>
    <w:p>
      <w:r>
        <w:rPr>
          <w:b/>
        </w:rPr>
        <w:t>E. 8.3</w:t>
      </w:r>
    </w:p>
    <w:p>
      <w:r>
        <w:t>Letzteres zeigt, dass viele - insbesondere jüngere - Menschen versuchen, ins Ausland zu gelangen, um sich unter günstigeren Lebensbedingungen eine bessere Existenz zu sichern. Dabei gelten vor allem West- und Mitteleuropa und somit auch die Schweiz als Wunschdestination. Der Trend zur Auswanderung zeigt sich erfahrungsgemäss dort besonders stark, wo durch die Anwesenheit von Verwandten oder Freunden bereits ein minimales Beziehungsnetz im Ausland besteht. Im Fall der Schweiz führt dies angesichts der restriktiven Zulassungsregelung nicht selten zur Umgehung ausländerechtlicher Bestimmungen.</w:t>
      </w:r>
    </w:p>
    <w:p>
      <w:r>
        <w:rPr>
          <w:b/>
        </w:rPr>
        <w:t>E. 8.4</w:t>
      </w:r>
    </w:p>
    <w:p>
      <w:r>
        <w:t>Angesichts der geschilderten Situation gewichtete die Vorinstanz somit das Risiko einer nicht fristgerechten Wiederausreise von Besuchern aus der Dominikansichen Republik generell zu Recht als relativ hoch. Solche Umstände entbinden die Vorinstanz jedoch nicht von einer einzelfallbezogenen Beurteilung. Namentlich können berufliche, gesellschaftliche oder familiäre Verpflichtungen die Prognose einer anstandslosen Wiederausreise begünstigen.</w:t>
      </w:r>
    </w:p>
    <w:p>
      <w:r>
        <w:rPr>
          <w:b/>
        </w:rPr>
        <w:t>E. 9.1</w:t>
      </w:r>
    </w:p>
    <w:p>
      <w:r>
        <w:t>Bei der Gesuchstellerin handelt es sich um eine 27-jährige, ledige Frau. Enge Verwandte (Eltern, Kinder) hat sie offenbar keine. Auch wenn sie nach wie vor bei den Familienangehörigen der Beschwerdeführerin lebt und diese auch unterstützt, kann - wie die Vorinstanz zu Recht festhielt - von besonderen familiären Verpflichtungen, die das Risiko einer fristgerechten Wiederausreise nach Ablauf eines bewilligten Besuchsaufenthalts in der Schweiz vermindern würde, keine Rede sein.</w:t>
      </w:r>
    </w:p>
    <w:p>
      <w:r>
        <w:rPr>
          <w:b/>
        </w:rPr>
        <w:t>E. 9.2</w:t>
      </w:r>
    </w:p>
    <w:p>
      <w:r>
        <w:t>Gemäss Aktenlage soll die Gesuchstellerin Informatik studiert haben und als "Technical Support Internet" bei einer Telefongesellschaft angestellt sein. Eine Arbeitsbestätigung bzw. ein Arbeitsvertrag oder sonstige Belege, die Auskunft geben über Anstellungsdauer, Lohn oder Ferienregelung, liegen nicht vor. Unabhängig von der Höhe ihres Erwerbseinkommens dürfte sie aber mit ihrer Ausbildung und dieser Anstellung im Vergleich zu anderen Landsleuten nicht in schlechten wirtschaftlichen Verhältnissen leben. Andererseits spricht die Tatsache, dass sie ihren Arbeitsplatz während drei Monaten verlassen kann, gegen eine besondere berufliche Verankerung im Heimatland. Denn nach einer derart langen Abwesenheit müsste die Gesuchstellerin mit dem Verlust ihres Arbeitsplatzes rechnen, was selbst die Beschwerdeführer nicht ausschliessen (vgl. Replik vom 6. Oktober 2008). Darüber hinaus zeigt die Erfahrung ganz allgemein, dass aufgrund des grossen Lohngefälles zwischen der Schweiz und der Dominikanischen Republik selbst ein für einheimische Verhältnisse gutes Salär nicht nachhaltig davon abhalten kann, das Heimatland dauerhaft zu verlassen. Kommt im vorliegenden Fall hinzu, dass mit der Beschwerdeführerin, bei der es sich um die Cousine und ehemalige Pflegemutter der Gesuchstellerin handeln soll, bereits eine wichtige Bezugsperson in der Schweiz lebt.</w:t>
      </w:r>
    </w:p>
    <w:p>
      <w:r>
        <w:rPr>
          <w:b/>
        </w:rPr>
        <w:t>E. 9.3</w:t>
      </w:r>
    </w:p>
    <w:p>
      <w:r>
        <w:t>Soweit die Beschwerdeführer vorbringen, ihre bisherigen Gäste aus der Dominikanischen Republik seien stets fristgerecht in ihr Heimatland zurückgekehrt, gilt es darauf hinzuweisen, dass sich mangels näherer Angaben einerseits nicht eruieren lässt, unter welchen Umständen diesen Personen (Mutter und Bruder der Beschwerdeführerin) in der Vergangenheit ein Einreisevisum erteilt wurde. Andererseits weist jeder Einzelfall - wie vorliegend belegt - eine ihm eigene und spezifische Konstellation auf, so dass er nicht ohne weiteres mit anderen, angeblich gleich gelagerten Fällen verglichen werden kann.</w:t>
      </w:r>
    </w:p>
    <w:p>
      <w:r>
        <w:rPr>
          <w:b/>
        </w:rPr>
        <w:t>E. 10</w:t>
      </w:r>
    </w:p>
    <w:p>
      <w:r>
        <w:t>Vor diesem Hintergrund durfte die Vorinstanz davon augehen, dass keine hinreichende Gewähr für eine fristgerechte und anstandslose Wiederausreise der Gesuchstellerin nach einem Besuchsaufenthalt besteht. Daran vermögen auch die von den Beschwerdeführern gemachten Erfahrungen mit früheren Gästen und die in casu abgegebenen Zusicherungen nichts zu ändern. Denn solche Zusicherungen bzw. "Verbürgungen" sind rechtlich nicht verbindlich und wären faktisch nicht durchsetzbar. Der Gastgeber kann zwar für gewisse finanzielle Risiken im Zusammenhang mit dem Besuchsaufenthalt, nicht jedoch für ein bestimmtes Verhalten seines Gastes garantieren (vgl. u.a. Urteil des Bundesverwaltungsgerichts C-2618/2008 vom 26. Februar 2009 E. 11 mit weiteren Hinweisen). Dies gilt auch im vorliegenden Fall, wo selbst die Vorinstanz die Integrität der Beschwerdeführer nicht in Frage gestellt hat.</w:t>
      </w:r>
    </w:p>
    <w:p>
      <w:r>
        <w:rPr>
          <w:b/>
        </w:rPr>
        <w:t>E. 11</w:t>
      </w:r>
    </w:p>
    <w:p>
      <w:r>
        <w:t>Aus diesen Darlegungen folgt, dass die angefochtene Verfügung rechtmässig ist (Art. 49 VwVG). Die Beschwerde ist demzufolge abzuweisen.</w:t>
      </w:r>
    </w:p>
    <w:p>
      <w:r>
        <w:rPr>
          <w:b/>
        </w:rPr>
        <w:t>E. 12</w:t>
      </w:r>
    </w:p>
    <w:p>
      <w:r>
        <w:t>Entsprechend dem Ausgang des Verfahrens werden die unterliegenden Beschwerdeführer kostenpflichtig (Art. 63 Abs. 1 VwVG). Die Verfahrenskosten sind auf Fr. 600.- festzusetzen (Art. 1 ff. des Reglements über die Kosten und Entschädigungen vor dem Bundesverwaltungsgericht vom 21. Februar 2008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