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C-4943/2013 vom 11. Juli 2014</w:t>
      </w:r>
    </w:p>
    <w:p>
      <w:r>
        <w:t>Bundesverwaltungsgericht, 2014-07-11, FR</w:t>
      </w:r>
    </w:p>
    <w:p>
      <w:r>
        <w:rPr>
          <w:b/>
        </w:rPr>
        <w:t xml:space="preserve">Quelle: </w:t>
      </w:r>
      <w:r>
        <w:t>https://mcp.opencaselaw.ch/entscheid/bvger_C-4943_2013</w:t>
      </w:r>
    </w:p>
    <w:p>
      <w:r>
        <w:t>FR: TAF C-4943/2013 du 11 juillet 2014</w:t>
      </w:r>
    </w:p>
    <w:p>
      <w:r>
        <w:t>IT: TAF C-4943/2013 del 11 luglio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de procédure requise ayant été payée, le recours est recevable.</w:t>
      </w:r>
    </w:p>
    <w:p>
      <w:r>
        <w:rPr>
          <w:b/>
        </w:rPr>
        <w:t>E. 2</w:t>
      </w:r>
    </w:p>
    <w:p>
      <w:r>
        <w:t>La question litigieuse est le bien-fondé de la décision du 1er juillet 2013 par laquelle l'autorité inférieure a rejeté la demande de prestations d'invalidité de l'intéressé.</w:t>
      </w:r>
    </w:p>
    <w:p>
      <w:r>
        <w:rPr>
          <w:b/>
        </w:rPr>
        <w:t>E. 3</w:t>
      </w:r>
    </w:p>
    <w:p>
      <w:r>
        <w:t>Le recourant est un ressortissant espagnol domicilié en Espagne, Etat membre de l'Union européenne.</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w:t>
      </w:r>
    </w:p>
    <w:p>
      <w:r>
        <w:rPr>
          <w:b/>
        </w:rPr>
        <w:t>E. 3.2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en l'espèce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3.3</w:t>
      </w:r>
    </w:p>
    <w:p>
      <w:r>
        <w:t>Il sied de souligner que 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3.4</w:t>
      </w:r>
    </w:p>
    <w:p>
      <w:r>
        <w:t>Pour ce qui est du droit interne, les modifications consécutives à la 6ème révision de la LAI, entrées en vigueur le 1er janvier 2012, trouvent application en l'espèce.</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6 et 45 du règlement n°883/2004). Le recourant a versé des cotisations à l'AVS/AI pendant plus de trois ans (pces 7/7 et 50). Il remplit donc la condition de la durée minimale de cotisations eu égard au moment de l'ouverture éventuelle du droit à la rente. Il reste à examiner s'il est invalide.</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l'Union européenne et y réside (ATF 130 V 253 consid. 2.3).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[CE] n° 883/04).</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(chiffre 2010 de la Circulaire concernant l'invalidité et l'impotence; Jurisprudence et pratique administrative des autorités d'exécution de l'AVS/AI [VSI] 1998 p. 126 consid. 3c).</w:t>
      </w:r>
    </w:p>
    <w:p>
      <w:r>
        <w:rPr>
          <w:b/>
        </w:rPr>
        <w:t>E. 5.4</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w:t>
      </w:r>
    </w:p>
    <w:p>
      <w:r>
        <w:rPr>
          <w:b/>
        </w:rPr>
        <w:t>E. 5.5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w:t>
      </w:r>
    </w:p>
    <w:p>
      <w:r>
        <w:t>Le recourant a travaillé de nombreuses années comme serveur dans le secteur de la restauration (pce 7/7). Selon le questionnaire à l'employeur, l'intéressé a cessé de travailler le 18 février 2010 (pce 18/5). Le 5 juillet 2010, l'intéressé fut victime d'une rupture aiguë d'un anévrisme de l'aorte abdominale (not. pce 2).</w:t>
      </w:r>
    </w:p>
    <w:p>
      <w:r>
        <w:rPr>
          <w:b/>
        </w:rPr>
        <w:t>E. 6.1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7.3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consid. 4.6;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w:t>
      </w:r>
    </w:p>
    <w:p>
      <w:r>
        <w:t>Il convient de confronter les positions des parties quant à l'état de santé du recourant et à ses répercussions sur sa capacité de travail.</w:t>
      </w:r>
    </w:p>
    <w:p>
      <w:r>
        <w:rPr>
          <w:b/>
        </w:rPr>
        <w:t>E. 8.1</w:t>
      </w:r>
    </w:p>
    <w:p>
      <w:r>
        <w:t>Selon les médecins du service médical et, avec eux, l'autorité inférieure, le recourant présente les diagnostics principaux suivants: maladie artérielle occlusive périphérique, claudication intermittente, status après la rupture d'un anévrisme de l'aorte sous-rénale et la pose d'une endoprothèse vasculaire, ainsi que les diagnostics secondaires, sans répercussion sur la capacité de travail, d'abus d'alcool et de nicotine. Ces médecins évaluent l'incapacité de travail à 70% dès le 5 juillet 2010 dans l'activité habituelle et à 0% dans une activité de substitution, sans indiquer à partir de quelle date, et pose pour cette dernière les limitations fonctionnelles suivantes: activité avec des changements de position, pas de port de charges de plus de 6 kg, pas de travaux lourds et un périmètre de marche de 100 mètres (décision du 1er juillet 2013 [pce 47]; prise de position du 28 juin 2012 du Dr G._______, médecin du service médical et spécialiste FMH en médecine interne [pce 20]). D'un point de vue psychiatrique et selon le médecin psychiatre du service médical, le Dr I._______, confirmant en substance l'avis du premier médecin interne, le recourant, sur la base du dossier médical à disposition, présente une réaction mixte, anxieuse et dépressive, qui ne conduit pas à une incapacité de travail de longue durée, ainsi qu'une capacité de travail, d'un point de vue psychiatrique, totale dans l'activité antérieure et dans une activité de substitution. Selon ce médecin psychiatre, le dossier ne contient aucun document psychiatrique antérieur au rapport du Dr H._______, psychiatre, du 14 septembre 2012 (cf. pce 29). L'intéressé n'a donc jamais fait l'objet d'un traitement psychiatrique antérieur, il a développé une symptomatologie anxio-dépressive dans les semaines qui ont suivi la communication du projet de décision tendant au refus de sa demande de prestations d'invalidité et le Dr H._______ ne pose pas de diagnostic au sens du CIM-10, mais formule son appréciation de manière prudente en parlant de symptomatologie dépressive compatible avec un trouble dépressif majeur (prises de position médicale du 16 avril et du 19 juin 2013 du Dr I._______ [pces 40 et 46], et du 18 décembre 2012 du Dr G._______ [pce 31]). En procédure de recours, l'autorité inférieure produit une prise de position médicale du 11 octobre 2013 du Dr G._______ (pce 49). Selon ce médecin, les nouveaux documents produits, datant de 2012, ne comportent aucun élément médical nouveau ayant des répercussions sur la capacité de travail du recourant. Il n'y a également aucune indication quant à une maladie psychiatrique préexistante. Les analyses sanguines font état de modifications typiques, compatibles et explicables par l'abus d'alcool, pathologie aussi déjà connue et sans répercussion sur la capacité de travail (pces 49 et TAF 5).</w:t>
      </w:r>
    </w:p>
    <w:p>
      <w:r>
        <w:rPr>
          <w:b/>
        </w:rPr>
        <w:t>E. 8.2</w:t>
      </w:r>
    </w:p>
    <w:p>
      <w:r>
        <w:t>Selon le recourant, l'instruction de son dossier par l'autorité inférieure est clairement insuffisante dès lors que, pour déterminer le droit à la rente, celle-ci n'aurait recueilli que quelques documents. La prise de position du 20 juin 2012 du médecin du service médical, le Dr G._______ (pce 20), ne contiendrait qu'assez peu d'informations et ne remplirait pas les critères jurisprudentiels quant à la pleine valeur probante des pièces médicales. Le recourant critique le fait qu'en dépit des nombreuses pathologies médicales qu'il présente, l'autorité inférieure n'a pas mis sur pied une expertise pluridisciplinaire qu'il juge indispensable. Sur le plan psychiatrique en particulier, le recourant a fait valoir durant la procédure d'audition qu'il lui paraissait très étonnant qu'une personne souffrant d'un trouble dépressif majeur (cf. pce 29) ne présente aucune incapacité de travail, même temporaire (observations du 3 juin 2013; pce 44). En procédure de recours, il fait encore valoir qu'une expertise psychiatrique aurait été nécessaire (pce TAF 1).</w:t>
      </w:r>
    </w:p>
    <w:p>
      <w:r>
        <w:rPr>
          <w:b/>
        </w:rPr>
        <w:t>E. 8.3</w:t>
      </w:r>
    </w:p>
    <w:p>
      <w:r>
        <w:t>Le Tribunal de céans relève que le recourant semble présenter des pathologies cardio-vasculaires et respiratoires, une dépendance à l'alcool et des problèmes psychiatriques.</w:t>
      </w:r>
    </w:p>
    <w:p>
      <w:r>
        <w:rPr>
          <w:b/>
        </w:rPr>
        <w:t>E. 8.3.1</w:t>
      </w:r>
    </w:p>
    <w:p>
      <w:r>
        <w:t>D'un point de vue cardio-vasculaire et respiratoire, outre la rupture d'un anévrisme de l'aorte sous-rénale et la pose d'une endoprothèse aortique, le rapport médical E213 du 26 janvier 2012 du Dr D._______ (pce 6) fait état de palpitations et de dyspnée y compris occasionnellement au repos et mentionne que le recourant se plaint de tachycardie y compris sans grands efforts. Ce diagnostic de tachycardie est également présent dans les deux certificats du médecin de famille du recourant, le Dr F._______. Le certificat du 10 avril 2012 en fait état d'un diagnostic de tachycardie posé le 9 novembre 2011 (pce 14) et le rapport de consultation du 25 mars 2013 présente ce diagnostic comme principal et mentionne également une hypertension artérielle (pce 37). Par contre, le rapport cardiologique demandé par le Dr F._______ dans le contexte de l'investigation sur la tachycardie (cf. pce 16) ne figure pas aux actes. Le rapport d'examen par scanner abdominal du 5 avril 2012 de la Dresse E._______ fait, quant à lui, état d'un discret emphysème paraseptal et centrolobulaire (pce 13) alors que le tabagisme est confirmé dans les certificats du médecin de famille cités plus haut (pces 14 et 37). Sur le plan vasculaire, le diagnostic de maladie occlusive des artères périphériques est présenté comme consécutif à l'opération mentionnée ci-dessus (certificat médical du 8 mars 2011 du Dr B._______, chirurgie vasculaire [pce 3; voir aussi pces 10 et 26 du bordereau de recours]). Ce diagnostic figure aussi dans le rapport médical E213 du 26 janvier 2012 du Dr D._______ (pce 6) qui parle d'occlusion de l'artère iliaque profonde gauche; il est repris dans la prise de position du 28 juin 2012 du Dr G._______, médecin du service médical, qui mentionne qu'il y a des problèmes circulatoires dans les extrémités inférieures (pce 20; voir également pce 49). Cette atteinte vasculaire semble être à l'origine de la claudication du recourant (pce 20) encore que le recourant, dans ses plaintes, lie sa boiterie à une sciatalgie alléguée par lui (dans le rapport médical E213 du 26 janvier 2012 du Dr D._______ [pce 6]) et confirmée sans autre précision par son médecin de famille, le Dr F._______ (pces 14 et 37). Le Tribunal de céans constate que les médecins du service médical ne se sont pas prononcés sur les problèmes cardiaques (tachycardie éventuellement même sans grands efforts, palpitations occasionnellement au repos) et respiratoires (dyspnée également occasionnellement au repos, discret emphysème). Ils ont retenu que le diagnostic de tabagisme n'avait pas de répercussions sur la capacité de travail (pce 20), alors que les problèmes respiratoires causés par la consommation de tabac sont susceptibles d'en avoir. Ils n'ont analysé que les problèmes vasculaires périphériques et ont conclu que l'occlusion des artères périphériques causait une claudication intermittente qui limitait la capacité de travail résiduelle du recourant (pce 20). Dès lors, le Tribunal de céans constate que les prises de position des médecins sont lacunaires sur le plan cardiologique et respiratoire, alors que les constats médicaux à ce niveau pourraient avoir des répercussions sur la capacité de travail du recourant, et que l'autorité inférieure ne pouvait ainsi pas se fonder sur elles sans investigations supplémentaires pour prendre sa décision.</w:t>
      </w:r>
    </w:p>
    <w:p>
      <w:r>
        <w:rPr>
          <w:b/>
        </w:rPr>
        <w:t>E. 8.3.2</w:t>
      </w:r>
    </w:p>
    <w:p>
      <w:r>
        <w:t>D'un point de vue psychiatrique, selon la prise de position du 16 avril 2013 du Dr I._______, médecin du service médical et spécialiste FMH en psychiatrie (pce 40; voir aussi pce 46), le dossier ne contient aucun document psychiatrique antérieur au certificat médical du 14 septembre 2012 du Dr H._______, médecin psychiatre. Il est vrai que le rapport médical E213 du 26 janvier 2012 du Dr D._______ (pce 6) ne mentionne ni traitement ni suivi psychiatrique. Cependant, la fiche d'information établie suite à une consultation le 25 janvier 2011 par la Dresse A._______ diagnostiquait une asthénie (CIM-9 780.79), également relevée, au 21 septembre 2010, par le médecin de famille (dans son rapport du 10 avril 2012; pce 14). Certes, ces documents sont brefs et anciens et ne mentionnent aucun traitement. Cependant, ils remettent en question la prise de position du médecin psychiatre du service médical. En effet, ce médecin a invoqué en particulier la nouveauté des symptômes psychiatriques pour écarter le diagnostic de syndrome dépressif majeur et d'éventuelles répercussions sur la capacité de travail du recourant. Or il s'avère qu'il y avait, dans les antécédent du recourant, au moins un diagnostic pouvant comprendre une dimension psychiatrique. De plus, selon le médecin du service médical, la symptomatologie dépressive serait réactionnelle et se serait développée dans les semaines précédant le rapport du 14 septembre 2012 du Dr H._______ (pce 29), c'est-à-dire durant la période suivant la communication (fin juillet 2012) du projet de décision tendant au rejet de la demande de prestations. Cependant, le certificat du 14 septembre 2012, certes peu détaillé, rapporte que la symptomatologie dépressive s'est développée durant les mois précédents, ce qui peut également correspondre à une période antérieure à la communication du projet de décision (c'est-à-dire avant la fin juillet 2012). De même, l'emploi du terme "progressivement" par le psychiatre consulté n'évoque pas une réaction à un événement ponctuel, mais bien une évolution graduelle, contrairement à ce que retient la prise de position du 16 avril 2013 du Dr I._______ (pce 40). Par ailleurs, le Dr H._______ parle d'un diagnostic "compatible" avec un syndrome dépressif majeur. Contrairement au médecin psychiatre du service médical (pce 40), le Tribunal de céans estime, même s'il faut tenir compte de la tendance des médecins traitant à prendre en cas de doute le parti de leur patient (cf. consid. 7.3), que cette prudence ne dit rien quant à la valeur probante de la pièce; elle pourrait tout aussi bien tendre à renforcer sa valeur probante si l'on estimait que le psychiatre avait pris soin de rapporter l'état de santé du recourant tel qu'il pouvait le connaître après une seule consultation. Selon le CIM-10, les symptômes indiqués par le Dr H._______ dans son rapport du 14 septembre 2012 (cf. let. B.d) pourraient parler en faveur d'un épisode dépressif moyen à sévère (CIM-10 32.1/32.1). Enfin, le rapport du 14 septembre 2012 du Dr H._______ (pce 29) date de plus de huit mois avant la décision attaquée. D'une part, l'écoulement du temps est susceptible d'avoir un effet positif ou négatif sur un éventuel syndrome dépressif moyen à sévère. D'autre part, une médication antidépressive avait été initiée au moment du certificat en question. Or, à défaut d'actualisation du dossier, on en ignore à ce jour les éventuels effets, éventuellement inexistants. En définitive, le Tribunal de céans retient que la situation médicale, également d'un point de vue psychiatrique, est peu claire, que la prise de position du médecin psychiatre du service médical n'emporte pas la conviction selon les considérants et que l'autorité inférieure aurait dû prendre des mesures d'instruction supplémentaires sur ce plan avant de rendre sa décision.</w:t>
      </w:r>
    </w:p>
    <w:p>
      <w:r>
        <w:rPr>
          <w:b/>
        </w:rPr>
        <w:t>E. 8.3.3</w:t>
      </w:r>
    </w:p>
    <w:p>
      <w:r>
        <w:t>S'agissant du problème d'alcoolisme, il est mentionné dans le rapport médical E213 du 26 janvier 2012 du Dr D._______ (pce 6) et dans les certificats établis par le médecin de famille du recourant, le Dr F._______, des 10 avril 2012 et 25 mars 2013 (pces 14 et 37). De plus, une stéatose hépatique, possiblement consécutive à l'abus d'alcool, a été diagnostiquée dans le rapport d'examen par scanner abdominal du 5 avril 2012 de la Dresse E._______ (pce 13). De même, la prise de position du 11 octobre 2013 du médecin du service médical signale, dans les examens de laboratoire du 23 octobre 2012, produits par le recourant en procédure de recours, des résultats explicables par l'abus d'alcool (pce 27 du bordereau de recours et pce 49). Le Tribunal de céans relève à ce sujet que la question des effets somatiques de l'abus d'alcool n'a pas été analysée par les médecins du service médical ni celle de l'abus d'alcool sous l'angle d'une éventuelle comorbidité psychiatrique à l'origine de cette dépendance. Le dossier est à ce titre doublement lacunaire. D'une part, il est peu clair du point de vue psychiatrique (cf. consid. 8.3.2); d'autre part, l'absence d'une anamnèse alcoolique est problématique, car l'historique de la consommation d'alcool, éventuellement depuis l'adolescence, constitue un instrument utile dans le cadre de la détermination du diagnostic notamment s'agissant de la préexistence d'un trouble indépendant (arrêts du Tribunal fédéral 9C_706/2012 du 1er juillet 2013 et 9C_395/2007 du 15 avril 2008 consid. 2.3). Quoi qu'il en soit, devant la situation médicale peu claire, le Tribunal de céans retient que l'autorité inférieure aurait dû compléter son instruction de manière à pouvoir faire une appréciation globale incluant aussi bien les causes que les conséquences de la dépendance à l'alcool, ce qui implique de tenir compte de l'éventuelle interaction entre la dépendance et la comorbidité psychiatrique et les effets somatiques, conformément aux exigences de la jurisprudence (arrêts du Tribunal fédéral 9C_72/2012 du du 21 août 2012 consid. 3, 9C_960/2009 du 24 février 2010 consid. 2.2, 9C_395/2007 du 15 avril 2008 consid. 2.2; sur l'ensemble de la question, arrêt I 169/06 du 8 août 2006 consid. 2.2 et les arrêts cités), ce qui nécessite une investigation médicale interdisciplinaire avec un volet psychiatrique (arrêts du Tribunal fédéral 9C_370/2013 du 22 novembre 2013 consid. 4.2.1 et les références citées, 8C_168/2008 du 11 août 2008 consid. 6.2.2 et 8C_189/2008 du 4 juillet 2008 consid. 5 et les références citées).</w:t>
      </w:r>
    </w:p>
    <w:p>
      <w:r>
        <w:rPr>
          <w:b/>
        </w:rPr>
        <w:t>E. 8.4</w:t>
      </w:r>
    </w:p>
    <w:p>
      <w:r>
        <w:t>Cela étant, il appert que la décision attaquée repose sur une instruction tout à fait insuffisante qui ne permet pas au Tribunal de céans de se prononcer sur l'état de santé et les répercussions de celui-ci sur la capacité de travail du recourant au moment de la décision attaquée avec la vraisemblance prépondérante valant en la matière. En effet, conformément à la jurisprudence claire et constante en la matière (cf. consid. 7.2) et vu notamment l'absence d'examen des problèmes cardiaques et respiratoires du recourant (tachycardie, palpitations, dyspnée) et de leurs répercussions sur la capacité de travail, l'investigation incomplète de la symptomatologie psychiatrique, la question laissée ouverte de la comorbidité psychiatrique et des conséquences somatiques en lien avec la dépendance à l'alcool, l'autorité inférieure ne pouvait pas statuer sur la base du dossier lacunaire, imprécis et incomplet sans passer par un nouvel examen (art. 43 al. 1 LPGA et 54 à 56 LAI en lien avec l'art. 57 al. 1 let. c à g LAI; arrêts du Tribunal fédéral 9C_58/2011 du 25 mars 2011 consid. 3.3, 9C_323/2009 du 14 juillet 2009 consid. 4.2 et 9C_581/2007 du 14 juillet 2008 consid. 3.2; Valterio, n° 2920). En l'espèce, l'autorité inférieure devait procéder à une instruction complémentaire pour clarifier les plaintes du recourant et pour établir son état de santé physique et psychique ainsi que sa capacité de travail. En rendant une décision en l'état, elle a violé le principe inquisitoire. Il se justifie dans de telles circonstances, vu l'importance des lacunes constatées (ATF 137 V 210 consid. 4.4.1.4), de renvoyer la cause à l'autorité inférieure pour qu'elle procède à un complément d'instruction en application de l'art. 61 al. 1 PA afin de tirer des conclusions valables quant à la capacité de travail résiduelle du recourant, étant précisé que, dans ce cadre, le recourant pourra bénéficier des garanties de procédure introduites par l'ATF 137 V 210. Dans le cadre du complément d'instruction, l'autorité inférieure mettra sur pied une expertise pluridisciplinaire comprenant au moins un volet médecine interne, un volet cardiologique et un volet psychiatrique, avec, le cas échéant, le concours de spécialistes de la réintégration professionnelle. Le cas échéant, l'autorité inférieure veillera également à procéder à toutes les autres mesures utiles et nécessaires pour déterminer valablement la capacité résiduelle de travail du recourant. Le dossier ainsi complété sera ensuite soumis au service médical de l'autorité inférieure pour prise de position. Sur cette base, l'autorité inférieure rendra une nouvelle décision.</w:t>
      </w:r>
    </w:p>
    <w:p>
      <w:r>
        <w:rPr>
          <w:b/>
        </w:rPr>
        <w:t>E. 9.1</w:t>
      </w:r>
    </w:p>
    <w:p>
      <w:r>
        <w:t>Le recourant ayant eu gain de cause dans le sens d'un renvoi de la cause à l'autorité inférieure (ATF 132 V 215 consid. 6.2), il n'est pas perçu de frais de procédure (art. 63 PA). L'avance de frais de 400 francs payée par le recourant lui sera restituée dès l'entrée en force du présent jugement.</w:t>
      </w:r>
    </w:p>
    <w:p>
      <w:r>
        <w:rPr>
          <w:b/>
        </w:rPr>
        <w:t>E. 9.2</w:t>
      </w:r>
    </w:p>
    <w:p>
      <w:r>
        <w:t>Le recourant ayant agi en étant représenté par un mandataire professionnel, il lui est alloué une indemnité globale de dépens fixée à 1000 francs (sans TVA) en raison de l'importance et de la difficulté de la cause ainsi que du travail qu'elle a nécessité et du temps que le mandataire y a consacré (art. 64 al. 1 PA et art. 7 ss FITAF; ATF 132 V 215 consid. 6.2).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