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C-4922/2011 vom 28. Juli 2011</w:t>
      </w:r>
    </w:p>
    <w:p>
      <w:r>
        <w:t>Bundesverwaltungsgericht, 2011-07-28, IT</w:t>
      </w:r>
    </w:p>
    <w:p>
      <w:r>
        <w:rPr>
          <w:b/>
        </w:rPr>
        <w:t xml:space="preserve">Quelle: </w:t>
      </w:r>
      <w:r>
        <w:t>https://mcp.opencaselaw.ch/entscheid/bvger_C-4922_2011</w:t>
      </w:r>
    </w:p>
    <w:p>
      <w:r>
        <w:t>FR: TAF C-4922/2011 du 28 juillet 2011</w:t>
      </w:r>
    </w:p>
    <w:p>
      <w:r>
        <w:t>IT: TAF C-4922/2011 del 28 luglio 2011</w:t>
      </w:r>
    </w:p>
    <w:p>
      <w:pPr>
        <w:pStyle w:val="Heading2"/>
      </w:pPr>
      <w:r>
        <w:t>Regeste</w:t>
      </w:r>
    </w:p>
    <w:p>
      <w:r>
        <w:t>Revisione della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spese processuali richiesto entro il termine impartito (cfr. doc. 12 e seguenti dell'incarto di ricorso). Il gravame è dunque ammissibile, nulla ostando all'esame del merito dello stesso.</w:t>
      </w:r>
    </w:p>
    <w:p>
      <w:r>
        <w:rPr>
          <w:b/>
        </w:rPr>
        <w:t>E. 3.1</w:t>
      </w:r>
    </w:p>
    <w:p>
      <w:r>
        <w:t>Il ricorrente è cittadino di uno Stato membro della Comunità europea. Di conseguenza, è applicabile, nella specie, l'accordo sulla libera circolazione delle persone del 21 giugno 1999 fra la Confederazione svizzera, da una parte e la Comunità europea ed i suoi Stati membri dall'altra, entrato in vigore il 1° giugno 2002 (ALC, RS 0142.112.681).</w:t>
      </w:r>
    </w:p>
    <w:p>
      <w:r>
        <w:rPr>
          <w:b/>
        </w:rPr>
        <w:t>E. 3.2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4.1</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Le disposizioni relative alla 6a revisione AI (primo pacchetto di misure), che sono entrate in vigore il 1° gennaio 2012, non sono invece applicabili (RU 2011 5659, FF 2010 1603).</w:t>
      </w:r>
    </w:p>
    <w:p>
      <w:r>
        <w:rPr>
          <w:b/>
        </w:rPr>
        <w:t>E. 4.2</w:t>
      </w:r>
    </w:p>
    <w:p>
      <w:r>
        <w:t>Il periodo di cognizione giudiziaria dello scrivente Tribunale amministrativo federale si estende fino al 28 luglio 2011,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5.3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6.1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 Se, di contro, è stata fatta domanda di revisione, nella domanda si deve dimostrare che il grado d'invalidità è modificato in misura rilevante per il diritto a prestazioni (art. 87 cpv. 3 OAI).</w:t>
      </w:r>
    </w:p>
    <w:p>
      <w:r>
        <w:rPr>
          <w:b/>
        </w:rPr>
        <w:t>E. 6.2</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6.3</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 15).</w:t>
      </w:r>
    </w:p>
    <w:p>
      <w:r>
        <w:rPr>
          <w:b/>
        </w:rPr>
        <w:t>E. 6.4</w:t>
      </w:r>
    </w:p>
    <w:p>
      <w:r>
        <w:t>La riduzione o la soppressione della rendita è messa in atto al più presto il primo giorno del secondo mese che segue la notifica della decisione (art. 88bis cpv. 2 lett. a OAI). L'aumento della rendita, dell'assegno per grandi invalidi o del contributo per l'assistenza avviene al più presto a partire dal mese in cui la domanda è stata inoltrata se l'assicurato ha chiesto la revisione e a partire dal mese in cui è stata prevista se la revisione ha luogo d'ufficio (art. 88bis cpv. 1 lett. a e b OAI).</w:t>
      </w:r>
    </w:p>
    <w:p>
      <w:r>
        <w:rPr>
          <w:b/>
        </w:rPr>
        <w:t>E. 7.1</w:t>
      </w:r>
    </w:p>
    <w:p>
      <w:r>
        <w:t>Una domanda di revisione è esaminata soltanto se l'assicurato rende verosimile che il grado di invalidità si è modificato in misura rilevante per il diritto alle prestazioni (art. 87 cpv. 2 e 3 OAI). Se non è il caso, l'amministrazione non entra nel merito della richiesta (DTF 109 V 114 consid. 2a). La costante giurisprudenza ha stabilito che per giudicare se vi sono indizi sufficienti per ritenere verosimile una modifica rilevante del grado d'invalidità si deve tenere conto del lasso di tempo intercorso tra la decisione precedente e quella che rifiuta di entrare in materia sulla domanda di revisione: gli indizi devono essere più circostanziati quando questo lasso di tempo è breve (Sozialversicherungsrecht, Rechtsprechung [SVR] 2002 IV n. 10 consid. 1c/aa non pubblicato in DTF 127 V 294).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art. 87ss. OAI, Pratique VSI 1999 pag. 8, DTF 117 V 198).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 38 consid. 1a e 1985 pag. 336).</w:t>
      </w:r>
    </w:p>
    <w:p>
      <w:r>
        <w:rPr>
          <w:b/>
        </w:rPr>
        <w:t>E. 7.2</w:t>
      </w:r>
    </w:p>
    <w:p>
      <w:r>
        <w:t>Il punto di partenza per stabilire se il grado d'invalidità si è modificato in maniera tale da influire sul diritto alle prestazioni è costituito dall'ultima decisione che ha esaminato materialmente il diritto alla rendita (DTF 133 V 108 consid. 5.4).</w:t>
      </w:r>
    </w:p>
    <w:p>
      <w:r>
        <w:rPr>
          <w:b/>
        </w:rPr>
        <w:t>E. 8.1</w:t>
      </w:r>
    </w:p>
    <w:p>
      <w:r>
        <w:t>Il collegio giudicante rileva preliminarmente che, nonostante il tenore della decisione del 28 luglio 2011, l'Ufficio AI è entrato nel merito della richiesta di revisione della rendita di A._______. Visti i documenti medici prodotti dal richiedente, l'UAIE ha ritenuto opportuno di sottoporre l'incarto al proprio medico, Dott.ssa Lautenschlager, che, nei sui rapporti del 4 marzo e 11 aprile 2011 (doc. 269 e 271), ha esaminato i referti menzionati. Dopo il progetto di decisione del 14 aprile 2011 e l'acquisizione ad atti di alcuni documenti sanitari, la Dott.ssa Lautenschlager si è ancora espressa in modo più approfondito nel rapporto dell'11 luglio 2011 (doc. 279). Così procedendo l'UAIE ha reso superfluo l'esame della questione se esso aveva, a ragione o a torto, dichiarato di non entrare in materia sulla richiesta di revisione della rendita (DTF 109 V 114 consid. 1b).</w:t>
      </w:r>
    </w:p>
    <w:p>
      <w:r>
        <w:rPr>
          <w:b/>
        </w:rPr>
        <w:t>E. 8.2</w:t>
      </w:r>
    </w:p>
    <w:p>
      <w:r>
        <w:t>Conformemente alla giurisprudenza esposta al considerando 7.2, il periodo di riferimento nell'ambito della presente vertenza è quello intercorrente tra il 22 maggio 2008 (data in cui l'UAI ha confermato la mezza rendita AI) e ad il 28 luglio 2011 (data della decisione impugnata).</w:t>
      </w:r>
    </w:p>
    <w:p>
      <w:r>
        <w:rPr>
          <w:b/>
        </w:rPr>
        <w:t>E. 9.1</w:t>
      </w:r>
    </w:p>
    <w:p>
      <w:r>
        <w:t>Per quanto risulta dagli atti, l'interessato non ha più lavorato dopo il rimpatrio.</w:t>
      </w:r>
    </w:p>
    <w:p>
      <w:r>
        <w:rPr>
          <w:b/>
        </w:rPr>
        <w:t>E. 9.2</w:t>
      </w:r>
    </w:p>
    <w:p>
      <w:r>
        <w:t>La nozione d'invalidità di cui all'art. 4 LAI e 8 LPGA è di carattere giuridico economico e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9.3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10.1</w:t>
      </w:r>
    </w:p>
    <w:p>
      <w:r>
        <w:t>Al momento in cui la rendita AI venne sottoposta a revisione a fine 2007 l'assicurato era portatore di cardiopatia ischemica in soggetto con recente by-pass aortocoronarico in diabetico, iperteso, bronchitico cronico ed esiti di frattura di caviglia sinistra con limitazioni funzionali e protesi fissa (cfr. la perizia medica particolareggiata del 9 gennaio 2008, E 213, doc. 150).</w:t>
      </w:r>
    </w:p>
    <w:p>
      <w:r>
        <w:rPr>
          <w:b/>
        </w:rPr>
        <w:t>E. 10.2</w:t>
      </w:r>
    </w:p>
    <w:p>
      <w:r>
        <w:t>Al momento della revisione in esame (su domanda), l'autorità inferiore ha ritenuto quanto esposto nella perizia medica particolareggiata del 12 novembre 2009 (doc. 249) che rileva cardiopatia ischemica, ipertensione arteriosa, diabete mellito insulinodipendente. In sede di audizione, l'assicurato produce una relazione del Dott. Cosentini, specialista in medicina legale e delle assicurazioni, il quale riprende la patologia cardiaca e menziona anche gli esiti della frattura peroneale sinistra, artrosi lombare. Egli fa stato, senza documentarla, di una neuropatia diabetica (non menzionata nella perizia INPS) e di una microangiopatia (pure non menzionata nella perizia dell'INPS).</w:t>
      </w:r>
    </w:p>
    <w:p>
      <w:r>
        <w:rPr>
          <w:b/>
        </w:rPr>
        <w:t>E. 10.3.1</w:t>
      </w:r>
    </w:p>
    <w:p>
      <w:r>
        <w:t>Per quanto riguarda le conseguenze invalidanti delle menzionate affezioni, il medico dell'INPS pone un tasso d'invalidità del 67%, pur specificando che le condizioni di salute sono migliorate rispetto alla precedente visita e che il paziente è in grado di svolgere attività leggere. Egli precisa che A._______ non è in grado di svolgere lavori comportanti frequenti flessioni od il trasporto di pesi, né la salita o la discesa di scale.</w:t>
      </w:r>
    </w:p>
    <w:p>
      <w:r>
        <w:rPr>
          <w:b/>
        </w:rPr>
        <w:t>E. 10.3.2</w:t>
      </w:r>
    </w:p>
    <w:p>
      <w:r>
        <w:t>Dal canto suo, la Dott.ssa Lautenschlager, dell'Ufficio AI, rileva nel suo rapporto dell'11 aprile 2011 (doc. 271) come non vi siano modifiche dal punto di vista ortopedico, peraltro l'assicurato non ha inviato documenti in quell'ambito. Va precisato che l'affezione alla caviglia nemmeno viene più menzionata in diagnosi nell''E 213, ma solo descritta nell'esame oggettivo di tale documento. Dal lato cardiologico, rispetto al 2007/2008, il medico dell'UAIE rileva un leggero, ma insignificante peggioramento, nel senso che la frazione di eiezione era nel 2007/2008 del 55% ma è ora scesa al 45%. Si tratta però di un rilevamento medico privo di conseguenze sulla residua capacità di lavoro di A._______ nell'ambito di un lavoro leggero. Lo stesso medico si è pronunciato in modo ancor più dettagliato nella relazione del'11 luglio 2001 alla luce del referto del Dott. Cosentini ed altra documentazione. Non vi sono novità rispetto alla precedente presa di posizione, in quanto alcune patologie menzionate quale novità dal Dott. Cosentini, comunque non documentate, sarebbero emendabili mediante adeguata terapia farmacologica e stile di vita appropriato. In sostanza A._______ deve astenersi da attività pesanti e deve rispettare alcuni limiti funzionali. L'attuale malattia coronarica, presente dal novembre 2007, non è di gravità ed intensità tali da giustificare l'assoluta inoperosità. Si osserva inoltre che l'operazione di by-pass si è ben conclusa e le funzionalità cardiaca, non ottimale certamente, non desta preoccupazioni prognostiche di rilievo.</w:t>
      </w:r>
    </w:p>
    <w:p>
      <w:r>
        <w:rPr>
          <w:b/>
        </w:rPr>
        <w:t>E. 10.3.3</w:t>
      </w:r>
    </w:p>
    <w:p>
      <w:r>
        <w:t>Per il resto, il diabete mellito può essere adeguatamente curato da opportuna e mirata terapia farmacologica e dieta adeguata. La sospettata affezione renale è stata smentita da esami oggettivi praticati e la restante frequenza della minzione non è, di per sé, invalidante. Pertanto, sia la situazione di salute che la conseguente capacità di lavoro di A._______ non ha subito un mutamento di rilievo rispetto al momento dell'ultima procedura di revisione terminata con la decisione del 22 maggio 2008.</w:t>
      </w:r>
    </w:p>
    <w:p>
      <w:r>
        <w:rPr>
          <w:b/>
        </w:rPr>
        <w:t>E. 10.3.4</w:t>
      </w:r>
    </w:p>
    <w:p>
      <w:r>
        <w:t>È vero che rispetto al momento in cui la mezza rendita d'invalidità è stata riconosciuta nel 1991, l'interessato presenta anche una patologia cardiaca allora sconosciuta. La mezza rendita era stata infatti riconosciuta principalmente per gli esiti dell'infortunio alla caviglia sinistra. Non si può tuttavia ritenere che vi sia un peggioramento come prospettato dal ricorrente. In primo luogo deve essere ricordato che l'eventuale peggioramento va esaminato riferendosi alla situazione esistente al 22 maggio 2008 (cfr. consid. 7.2) e a quella data la cardiologia cardiaca si era già manifestata ed era stata debitamente presa in considerazione per la procedura di revisione. In secondo luogo, va precisato che il grado d'invalidità non risulta dalla somma delle singole incapacità lavorative (di origine ortopedica o cardiaca) ma piuttosto da una valutazione globale dell'incidenza di queste patologie sulla capacità di lavoro residua (DTF 123 V 45 consid. 3b e SVR 2008 IV n.15 consid. 2.1). Nell'ambito di un'attività leggera da svolgere al 50%, l'insorgenza di una patologia cardiaca come quella cha ha colpito l'insorgente è ininfluente e non giustifica il riconoscimento di una maggiore inabilità.</w:t>
      </w:r>
    </w:p>
    <w:p>
      <w:r>
        <w:rPr>
          <w:b/>
        </w:rPr>
        <w:t>E. 11</w:t>
      </w:r>
    </w:p>
    <w:p>
      <w:r>
        <w:t>Resta da esaminare se si deve procedere a un esame del raffronto dei redditi prima e dopo l'invalidità in applicazione dell'art. 16 LPGA (consid. 9.2). La Commissione federale di ricorso, con giudizio del 18 agosto 2000, aveva calcolato una perdita di guadagno del 58% (doc. 75), poi modificato dall'autorità inferiore con il calcolo effettuato il 30 agosto 2004 che riteneva un'invalidità del 50% (doc. 131). Ora, secondo la menzionata giurisprudenza (cfr. consid. 6.3) è vero che le rendite d'invalidità sono soggette a revisione anche se lo stato di salute è rimasto invariato, a condizione che le conseguenze sulla capacità di guadagno abbiano subito un cambiamento importante. Questo non significa tuttavia che in occasione di una revisione si debba sempre procedere a un nuovo raffronto dei redditi. Se lo stato di salute è rimasto invariato, occorre dapprima decidere se esista o meno un motivo per adeguare la rendita. Solamente rispondendo affermativamente a questa domanda, si può procedere ad un nuovo calcolo comparativo dei redditi. Adottando la soluzione contraria, ossia procedendo ad un nuovo calcolo innanzi ad una situazione rimasta invariata, si violerebbe lo stesso principio che impone come non si possa, in caso di revisione, giudicare diversamente due situazioni rimaste uguali (sentenza 9C_ 223/2011 del 3 giugno 2011 consid. 3.2 pubblicata in SVR 2011 IV n° 81, vedi anche sentenza del Tribunale federale 9C_766/2009 del 12 marzo 2010 consid. 3.2). Nella fattispecie, facendo difetto un aggravamento del grado d'invalidità, le condizioni previste dall'art. 17 cpv. 1 LPGA per procedere a una revisione del diritto alla rendita d'invalidità non sono adempiute. Non si giustifica pertanto di procedere a un esame del raffronto dei redditi.</w:t>
      </w:r>
    </w:p>
    <w:p>
      <w:r>
        <w:rPr>
          <w:b/>
        </w:rPr>
        <w:t>E. 12.1</w:t>
      </w:r>
    </w:p>
    <w:p>
      <w:r>
        <w:t>In queste circostanze il ricorso è respinto e l'impugnata decisione confermata con sostituzione dei motivi (cfr. consid. 8.1).</w:t>
      </w:r>
    </w:p>
    <w:p>
      <w:r>
        <w:rPr>
          <w:b/>
        </w:rPr>
        <w:t>E. 12.2</w:t>
      </w:r>
    </w:p>
    <w:p>
      <w:r>
        <w:t>Le spese processuali, ammontanti a 400 franchi, sono poste a carico della ricorrente e sono compensate con l'anticipo già fornito.</w:t>
      </w:r>
    </w:p>
    <w:p>
      <w:r>
        <w:rPr>
          <w:b/>
        </w:rPr>
        <w:t>E. 12.3</w:t>
      </w:r>
    </w:p>
    <w:p>
      <w:r>
        <w:t>Visto l'esito del ricorso, non si assegnano indennità per spese ripetibili. Per quel che concerne l'UAIE, le autorità federali non hanno diritto ad un'indennità a titolo di ripetibili (art. 7 cpv. 3 del regolamento del 21 febbraio 2008 sulle tasse e sulle spese ripetibili nella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