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C-4921/2010 vom 11. August 2011</w:t>
      </w:r>
    </w:p>
    <w:p>
      <w:r>
        <w:t>Bundesverwaltungsgericht, 2011-08-11, DE</w:t>
      </w:r>
    </w:p>
    <w:p>
      <w:r>
        <w:rPr>
          <w:b/>
        </w:rPr>
        <w:t xml:space="preserve">Quelle: </w:t>
      </w:r>
      <w:r>
        <w:t>https://mcp.opencaselaw.ch/entscheid/bvger_C-4921_2010</w:t>
      </w:r>
    </w:p>
    <w:p>
      <w:r>
        <w:t>FR: TAF C-4921/2010 du 11 août 2011</w:t>
      </w:r>
    </w:p>
    <w:p>
      <w:r>
        <w:t>IT: TAF C-4921/2010 del 11 agosto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des Bundesgerichts 2A.451/2002 vom 28. März 2003 teilweise publiziert in BGE 129 II 215). 3.3.1 Hinsichtlich der vom Beschwerdeführer als Beweismassnahme beantragten gerichtlichen Befragung von drei Zeugen ist Folgendes festzuhalten: Der Behörde kommt grundsätzlich die Pflicht zu,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Überdies handelt es sich bei der Zeugeneinvernahme gemäss Art. 14 VwVG um ein subsidiäres Beweismittel; eine solche darf - der besonderen Voraussetzungen und Folgen wegen - nur ausnahmsweise angeordnet werden (vgl. dazu Urteil des Bundesgerichts 1C-427/2008 vom 2. Februar 2009 E. 2.2). Bei nicht anfechtbaren Entscheiden kann der Entscheid über die Beweisanträge im Endurteil erfolgen (Bernhard Waldmann/Jürg Bickel, in: Praxiskommentar VwVG, Waldmann/Weissenberger [Hrsg.], Zürich 2009, Art. 33 N 36). 3.2 Der entscheiderhebliche Sachverhalt erschliesst sich, wie nachfolgend zu zeigen sein wird, in hinreichender Weise aus den Akten. Von der beantragten Zeugeneinvernehme kann daher in antizipierter Beweiswürdigung ohne Verletzung des Anspruchs auf rechtliches Gehör abgesehen werden. Das Verwaltungsrechtspflegeverfahren ist sodann vom Grundsatz der Schriftlichkeit geprägt (siehe ANDRÉ MOSER/MICHAEL BEUSCH/LORENZ KNEUBÜHLER, Prozessieren vor dem Bundesverwaltungsgericht, Lausanne/Zürich/Bern 2008, Rz. 3.85/3.86 S. 143 ff.) und ein Anspruch auf mündliche Anhörung besteht nicht (BGE 134 I 140 E. 5.3 S. 148). Zudem hat sich der Beschwerdeführer zu den relevanten strittigen Fragen wiederholt schriftlich äussern können. Dem Antrag auf Zeugeneinvernahmen ist deshalb nicht stattzugeben.</w:t>
      </w:r>
    </w:p>
    <w:p>
      <w:r>
        <w:rPr>
          <w:b/>
        </w:rPr>
        <w:t>E. 4</w:t>
      </w:r>
    </w:p>
    <w:p>
      <w:r>
        <w:t>4.1 In formeller Hinsicht rügt der Beschwerdeführer vorab, die angefochtene Verfügung sei nicht begründet worden. Sie enthalte lediglich den Hinweis, es liege ein Verstoss und eine Gefährdung der öffentlichen Sicherheit und Ordnung wegen Erwerbstätigkeit ohne Bewilligung vor und es seien Sozialkosten verursacht worden (Art. 67 Abs. 1 Bst. a AuG in der damaligen Fassung). Inwiefern eine Erwerbstätigkeit ohne Bewilligung erfolgt sein soll und er die öffentliche Sicherheit und Ordnung gefährdet haben soll, und aus welchen Gründen Sozialhilfekosten verursacht sein sollen, ergebe sich nicht aus der Verfügung.</w:t>
      </w:r>
    </w:p>
    <w:p>
      <w:r>
        <w:rPr>
          <w:b/>
        </w:rPr>
        <w:t>E. 4.2</w:t>
      </w:r>
    </w:p>
    <w:p>
      <w:r>
        <w:t>Der in Art. 29 Abs. 2 BV garantierte und in Art. 29 ff. VwVG für das Bundesverwaltungsverfahren konkretisierte Grundsatz des rechtlichen Gehörs umfasst unter anderem die Pflicht der Behörde, ihre Verfügung zu begründen (vgl. Art. 35 Abs. 1 VwVG sowie BVGE 2010 E. 4.1.2, S.494). Die Begründungspflicht der Behörden soll verhindern, dass diese sich von unsachlichen Motiven leiten lassen.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sie sich ausdrücklich mit jeder tatbeständlichen Behauptung und jedem rechtlichen Einwand auseinandersetzen müsste. Vielmehr kann sie sich auf die für den Entscheid wesentlichen Gesichtspunkte beschränken (BGE 136 I 184 E. 2.2.1 S. 188 mit weiteren Hinweisen; vgl. auch BVGE 2010/35 E. 4.1.2 mit Hinweisen, sowie LORENZ KNEUBÜHLER, in: Christoph Auer/Markus Müller/Benjamin Schindler [Hrsg.], Kommentar zum Bundesgesetz über das Verwaltungsverfahren [VwVG], Zürich/St. Gallen 2008, Rz. 4 ff. und insb. 9 ff. zu Art. 35 VwVG).</w:t>
      </w:r>
    </w:p>
    <w:p>
      <w:r>
        <w:rPr>
          <w:b/>
        </w:rPr>
        <w:t>E. 4.3</w:t>
      </w:r>
    </w:p>
    <w:p>
      <w:r>
        <w:t>Hinsichtlich der Verletzung der Begründungspflicht steht fest, dass die angefochtene Verfügung bloss die Wiedergabe des stichwortartig ergänzten Gesetzestextes beinhaltet, welchen die Vorinstanz zur Anwendung bringen wollte. Im Kontext der Ereignisse lässt sich daraus knapp ableiten, aus welchen Gründen die Vorinstanz ein dreijähriges Einreisverbot für angezeigt erachtete. Der angefochtenen Verfügung ist hingegen kein konkreter Bezug zum Sachverhalt zu entnehmen. Aufgrund des Ablaufs der Geschehnisse konnte der Beschwerdeführer die vorinstanzliche Anordnung zwar dennoch sachgerecht anfechten. 5.5.1 Weiter rügt der Beschwerdeführer in formeller Hinsicht, das Einreiseverbot sei in krasser Verletzung der verfassungsrechtlich geschützten Unschuldsvermutung gemäss Art. 32 Abs. 1 BV erlassen worden. 5.2 Der Beschwerdeführer verkennt, dass die in Art. 32 Abs. 1 BV und Art. 6 Ziff. 2 der Konvention vom 4. November 1950 zum Schutze der Menschenrechte und Grundfreiheiten (EMRK, SR 0.101) statuierte Unschuldsvermutung grundsätzlich nur im Strafverfahren anwendbar ist (vgl. Mark E. Villiger, Handbuch der Europäischen Menschenrechtskonvention, 2. Aufl., Zürich 1999, Rz. 493; ferner BGE 130 II 176 E. 4.3.3 S. 189 mit Hinweisen zum Tatbestand der fremdenpolizeilichen Ausweisung) und es sich bei dem vom BFM verfügten Einreiseverbot um eine rein präventivpolizeiliche Massnahme handelt (vgl. zu Letzterem BGE 129 IV 246 E. 3.1 S. 251 f. sowie Urteil des Bundesverwaltungsgerichts C-2196/2008 vom 17. März 2011 E. 6 mit Hinweis). 5.3 Das Einreiseverbot hat ordnungsrechtlichen Charakter und soll einer künftigen Störung der öffentlichen Sicherheit und Ordnung vorbeugen, nicht aber ein bestimmtes Verhalten im strafrechtlichen Sinne ahnden. Strafrechtliche und fremdenpolizeiliche Massnahmen sind nicht nur voneinander unabhängig, sondern bedingen sich gegenseitig auch nicht. Sie beruhen vielmehr auf unterschiedlicher gesetzlicher Grundlage und verfolgen verschiedene Zielsetzungen, so dass ein Verhalten in massnahmerechtlicher Hinsicht grösseres Gewicht als in strafrechtlicher Hinsicht haben kann (vgl. BGE 130 II 493 E.4.2 mit Hinweisen). Ein Einreiseverbot kann auch dann ergehen, wenn ein rechtskräftiges Strafurteil fehlt, sei es weil ein Strafverfahren nicht eröffnet wurde oder noch hängig ist. Gleiches gilt für den Fall, dass eine strafrechtliche Untersuchung eingestellt wird. Die Einstellungsverfügung bringt zum Ausdruck, dass eine Strafverfolgung - sowohl im öffentlichen wie auch im privaten Interesse - nicht fortgesetzt werden soll, weil beispielsweise eine Verurteilung des Beschuldigten nicht zu erwarten ist (vgl. Robert Hauser / Erhard Schweri, Schweizerisches Strafprozessrecht, 4. Aufl., Basel 1999, § 77 Rz. 2 und § 78 Rz. 3 ff.). Sie stellt nicht einen Freispruch bzw. ein rechtskräftiges Strafurteil dar, von welchem die Administrativbehörde in tatbeständlicher Hinsicht nicht ohne Not abweichen sollte (vgl. BGE 124 II 103 E. 1c und d S. 106 f. und BGE 119 Ib 158 E. 3 S. 163 ff. zum Warnentzug im Strassenverkehrsrecht). 5.4. Überdies rügt der Beschwerdeführer, die angefochtene Verfügung sei ihm nicht in einer ihm verständlichen Sprache eröffnet worden. Den Akten ist zu entnehmen, dass der Beschwerdeführer das Einreiseverbot am 9. Juni 2010 in Empfang genommen hat. Auf der Empfangsbestätigung steht Folgendes geschrieben: "mit Übersetzungsblatt". Der Beschwerdeführer hat die Empfangsbestätigung unterschrieben. Daher muss er vom Einreiseverbot in einer ihm verständlichen Sprache Kenntnis erhalten haben. Dies genügt zur Wahrung seiner rechtlichen Interessen. Einen Anspruch auf eine Verfügung in seiner Muttersprache hat er hingegen nicht. 6.Wird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7.1</w:t>
      </w:r>
    </w:p>
    <w:p>
      <w:r>
        <w:t>Auf den 1. Januar 2011 trat als Folge der Weiterentwicklung des Schengen-Besitzstandes eine neue Fassung von Art. 67 AuG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worden sind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Für den Beschwerdeführer ändert sich dadurch im Ergebnis nichts.</w:t>
      </w:r>
    </w:p>
    <w:p>
      <w:r>
        <w:rPr>
          <w:b/>
        </w:rPr>
        <w:t>E. 7.2</w:t>
      </w:r>
    </w:p>
    <w:p>
      <w:r>
        <w:t>Wie bereits die altrechtliche Einreisesperre (vgl. Art. 13 Abs. 1 des Bundesgesetzes vom 26. März 1931 über Aufenthalt und Niederlassung der Ausländer [ANAG, BS 1 121]) ist das Einreiseverbot keine Sanktion für vergangenes Fehlverhalten, sondern eine Massnahme zur Abwendung künftiger Störungen der öffentlichen Sicherheit und Ordnung (siehe Botschaft zum Bundesgesetz über die Ausländerinnen und Ausländer vom 8. März 2002 [nachfolgend: Botschaft], BBl 2002 3709,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w:t>
      </w:r>
    </w:p>
    <w:p>
      <w:r>
        <w:rPr>
          <w:b/>
        </w:rPr>
        <w:t>E. 7.3</w:t>
      </w:r>
    </w:p>
    <w:p>
      <w:r>
        <w:t>In Bezug auf die Verfehlungen, derentwegen der Beschwerdeführer noch nicht rechtskräftig belangt worden ist, gilt zudem allgemein,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Bundesverwaltungsgerichts C-4639/2010 vom 15. Februar 2011 E. 5.3 mit Hinweis).</w:t>
      </w:r>
    </w:p>
    <w:p>
      <w:r>
        <w:rPr>
          <w:b/>
        </w:rPr>
        <w:t>E. 8</w:t>
      </w:r>
    </w:p>
    <w:p>
      <w:r>
        <w:t>8.1 Sofern sie keiner Erwerbstätigkeit nachgehen, benötigen Ausländerinnen und Ausländer für einen Aufenthalt in der Schweiz von bis zu drei Monaten keine Bewilligung (Art. 10 Abs. 1 AuG). Demgegenüber benötigen Ausländerinnen und Ausländer, die in der Schweiz eine Erwerbstätigkeit ausüben wollen, unabhängig von der Aufenthaltsdauer eine Bewilligung (Art. 11 Abs. 1 Satz 1 AuG). Art. 9 Abs. 1 VZAE hält präzisierend fest, dass Ausländerinnen und Ausländer ohne Erwerbstätigkeit in der Schweiz für einen Aufenthalt von bis zu drei Monaten innerhalb eines Zeitraums von sechs Monaten nach Einreise keine Bewilligung benötigen und sich nicht anmelden müssen (bewilligungsfreier Aufenthalt). Die Einreisevoraussetzungen nach Art. 5 AuG müssen während des gesamten bewilligungsfreien Aufenthalts erfüllt sein (Art. 9 Abs. 2 VZAE).</w:t>
      </w:r>
    </w:p>
    <w:p>
      <w:r>
        <w:rPr>
          <w:b/>
        </w:rPr>
        <w:t>E. 8.2</w:t>
      </w:r>
    </w:p>
    <w:p>
      <w:r>
        <w:t>Anlässlich der polizeilichen Einvernahme vom 8. Juni 2010 sagte der Beschwerdeführer aus, er habe den Boden und auch draussen ein bisschen gereinigt (Antwort auf Frage 8). Weiter bejahte er die Frage (18), ob er den Raum bis Mittag für die Malerarbeiten hätte vorbereiten sollen. Er fügte hinzu, er habe keine feste Arbeit und werde von seinem Bruder unterstützt (Antwort auf Frage 21). Die Frage (22), dass es dem Bruder billiger komme, wenn er hier sei anstatt im Heimatland auf sein Geld zu warten und ob er sich schuldig erkläre, gegen hiesige Gesetzesbestimmungen verstossen zu haben, indem er eine Arbeitstätigkeit ausgeführt habe, welche normalerweise entlöhnt werde, beantwortete er dahingehend, dass er sich schuldig erkläre. In der Beschwerde bringt er demgegenüber vor, er habe das Klebeband aus reiner Gefälligkeit angebracht und habe weder arbeiten noch Geld verdienen wollen.</w:t>
      </w:r>
    </w:p>
    <w:p>
      <w:r>
        <w:rPr>
          <w:b/>
        </w:rPr>
        <w:t>E. 8.3</w:t>
      </w:r>
    </w:p>
    <w:p>
      <w:r>
        <w:t>Zunächst gilt es festzuhalten, dass in casu nicht entscheidend ist, ob dem Beschwerdeführer von seinem Bruder und dessen Ehefrau für seine Arbeitsleistungen (neben Kost und Logis) allenfalls ein Entgelt ausgerichtet wurde oder nicht. Denn als Erwerbstätigkeit gilt im vorliegenden Zusammenhang jede üblicherweise gegen Entgelt ausgeübte unselbstständige oder selbstständige Tätigkeit, selbst wenn sie unentgeltlich erfolgt (Art. 11 Abs. 2 AuG). Ohne Belang für die Qualifikation als (unselbstständige) Erwerbstätigkeit ist unter anderem weiter, ob die Beschäftigung nur stunden- oder tageweise oder vorübergehend ausgeübt wird (Art. 1a Abs. 1 VZAE).</w:t>
      </w:r>
    </w:p>
    <w:p>
      <w:r>
        <w:rPr>
          <w:b/>
        </w:rPr>
        <w:t>E. 8.4</w:t>
      </w:r>
    </w:p>
    <w:p>
      <w:r>
        <w:t>Die vom Beschwerdeführer vorgenommenen Arbeitsleistungen sind damit als Erwerbstätigkeit im Sinne von Art. 11 Abs. 2 AuG zu qualifizieren, für welche er vorgängig eine Bewilligung hätte einholen müssen. Mit der Ausübung einer nicht bewilligten Erwerbstätigkeit hat er ausländerrechtlichen Bestimmungen (Art. 115 Abs. 1 Bst. c AuG) zuwidergehandelt. 9.9.1 Die Vorinstanz begründet das verhängte Einreiseverbot weiter damit, der Beschwerdeführer habe durch die Ausschaffung Sozialkosten verursacht. Die Botschaft führt hierzu aus, ein Einreiseverbot solle insbesondere dann angeordnet werden, wenn die Gefahr bestehe, dass bei einer Wiedereinreise erneut Sozialhilfe- und Rückreisekosten entstünden (vgl. Botschaft, a.a.O., 3813). Dies spricht dafür, die bisherige, unter Geltung des ANAG entwickelte Praxis zum Fernhaltegrund der sogenannt "vorsorglich armenrechtlichen Gründe" im Rahmen des - in der erwähnten Bestimmung nunmehr kodifizierten - Fernhaltegrundes der Verursachung von Sozialhilfekosten weiterzuführen (vgl. Urteil des Bundesverwaltungsgerichts C-1335/2009 vom 3. Juni 2010 E. 5.2 mit Hinweis). Eine Fernhaltemassnahme kann danach gegen mittellose ausländische Personen verhängt werden, welche bereits Sozialhilfekosten verursacht haben, da in diesen Fällen die Gefahr besteht, dass sie erneut auf sozialhilferechtliche Unterstützung angewiesen sein könnten. Ob eine solche Gefahr besteht, lässt sich naturgemäss nur anhand einer Prognose beurteilen, die sich auf das bisherige Verhalten der ausländischen Person abstützt. 9.2 Dass der Beschwerdeführer in der Schweiz Sozialhilfe bezogen hätte, ergibt sich nicht aus den Akten. Vielmehr wurde er von seinem Bruder unterstützt. Unbestritten ist hingegen, dass die Ausschaffungshaft und seine Rückschaffung Kosten verursacht haben. Die Aussage des Beschwerdeführers, er wäre gerne auf eigene Kosten ausgereist, ist unbehelflich. Es bestand daher die ernstzunehmende Gefahr, dass der Beschwerdeführer im Falle einer Wiedereinreise erneut entsprechende Kosten verursachen würde. Damit ist auch diese Voraussetzung für die Verhängung eines Einreiseverbots als erfüllt zu betrachten.</w:t>
      </w:r>
    </w:p>
    <w:p>
      <w:r>
        <w:rPr>
          <w:b/>
        </w:rPr>
        <w:t>E. 10</w:t>
      </w:r>
    </w:p>
    <w:p>
      <w:r>
        <w:t>Zusammenfassend ist festzuhalten, dass der Beschwerdeführer gegen die öffentliche Sicherheit und Ordnung in der Schweiz verstossen und damit den Fernhaltegrund von Art. 67 Abs. 2 Bst. a und b AuG gesetzt hat. Die Verhängung der Fernhaltemassnahme erweist sich damit in grundsätzlicher Hinsicht als gerechtfertigt. 11.11.1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5. Aufl., Zürich/Basel/Genf/St. Gallen 2006, Rz. 613 ff.). 11.2 Das Fehlverhalten des Beschwerdeführers wiegt objektiv nicht leicht. Es beinhaltet die Missachtung ausländerrechtlicher Normen, denen im Interesse einer funktionierenden Rechtsordnung eine zentrale Bedeutung zukommt. 11.3 Auf der anderen Seite ist die Gefahr weiterer gleichgelagerter Zuwiderhandlungen nicht in dem Masse anzunehmen, wie zum Zeitpunkt des Erlasses der angefochtenen Verfügung von der Vorinstanz angenommen wurde. Der Beschwerdeführer war im Besitze eines gültigen nationalen Reisepasses und eines Schengenvisums. Zugute gehalten werden kann dem Beschwerdeführer zudem, dass er insgesamt lediglich ca. einen Tag für seinen Bruder gearbeitet hat. Schliesslich dürfte ihm die angeordnete Massnahme Anlass genug gewesen sein, sich fürderhin an die geltenden Vorschriften zu halten. 11.4 Eine Abwägung der gegenläufigen öffentlichen und privaten Interessen führt zum Ergebnis, dass das Einreiseverbot dem Grundsatze nach zu bestätigen ist, in der ausgesprochenen Dauer von drei Jahren jedoch als unangemessen lang erscheint. Angesichts der konkreten Umstände ist davon auszugehen, dass dem öffentlichen Interesse an der Fernhaltung des Beschwerdeführers mit einem Einreiseverbot von der bisherigen Dauer hinreichend Rechnung getragen wird. 12.Aus diesen Erwägungen folgt, dass das auf drei Jahre bemessene Einreiseverbot Bundesrecht verletzt (vgl. Art. 49 VwVG). Die Beschwerde ist daher teilweise gutzuheissen und das gegen den Beschwerdeführer verhängte Einreiseverbot auf das Datum des Urteils zu befristen. 13.Soweit der Beschwerdeführer obsiegt, sind ihm keine Verfahrenskosten aufzuerlegen; im Übrigen sind sie ihm zu erlassen (Art. 63 Abs. 1 VwVG sowie Art. 6 Bst. b des Reglements vom 21. Februar 2008 über die Kosten und Entschädigungen vor dem Bundesverwaltungsgericht [VGKE, SR 173.320.2]). Ausserdem ist ihm eine Parteientschädigung zuzusprechen, deren Höhe in Anwendung von Art. 64 VwVG sowie Art. 7 f. VGKE auf Fr. 800.- festzusetzen ist, wodurch das Gesuch um unentgeltliche Rechtspflege hinfällig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