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C-4919/2012 vom 18. Januar 2013</w:t>
      </w:r>
    </w:p>
    <w:p>
      <w:r>
        <w:t>Bundesverwaltungsgericht, 2013-01-18, DE</w:t>
      </w:r>
    </w:p>
    <w:p>
      <w:r>
        <w:rPr>
          <w:b/>
        </w:rPr>
        <w:t xml:space="preserve">Quelle: </w:t>
      </w:r>
      <w:r>
        <w:t>https://mcp.opencaselaw.ch/entscheid/bvger_C-4919_2012</w:t>
      </w:r>
    </w:p>
    <w:p>
      <w:r>
        <w:t>FR: TAF C-4919/2012 du 18 janvier 2013</w:t>
      </w:r>
    </w:p>
    <w:p>
      <w:r>
        <w:t>IT: TAF C-4919/2012 del 18 gennaio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einzu­treten (Art. 50 und 52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BVGE 2007/41 E. 2 und Urteil des BVGer A-2682/2007 vom 7. Oktober 2010 E. 1.2 und 1.3). 3.Der angefochtenen Verfügung liegt das Gesuch einer pakistanischen Staatsangehörigen um Erteilung eines Visums für einen dreimonatigen Aufenthalt in der Schweiz zugrunde. Da sich die Beschwerdeführerin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 4.Die Voraussetzungen für die Erteilung eines Visums präsentieren sich im Anwendungsbereich der erwähnten Rechtsgrundlagen wie folgt: 4.1 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Caroni / Gächter / Thurn­herr [Hrsg.], Stämpflis Handkommentar zum Bundesgesetz über die Auslän­derinnen und Ausländer, Bern 2010, Art. 5 N. 3 f.). 4.2 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 4.3 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 4.4 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 4.5 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Pakistan zu diesen Staaten zählt, unterliegt die Beschwerdeführerin der Visumspflicht. Bei der Prüfung der Einreisevoraussetzungen nach Art. 5 Abs. 1 SGK steht die Frage der gesicherten Wiederausreise im Vordergrund, welche die Vorinstanz aufgrund der allgemeinen Lage im Heimatland sowie der persönlichen Verhältnisse der Beschwerdeführerin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Das Wirtschafts- und Investitionsklima von Pakistan leidet unter einer anhaltenden politischen Instabilität, einer angespannten Sicherheitslage, schlechter Regierungsführung und einer fortdauernden Energiekrise. Da seit dem Jahre 2000 zu wenig in den Energiesektor investiert wurde, kommt es seit 2009 regelmässig und in allen Landesteilen zu Engpässen in der Stromversorgung. Dies, aber auch die anhaltende politische Instabilität und die angespannte Sicherheitslage, führten zu einem Einbruch bei den ausländischen Direktinvestitionen. Im letzten Haushaltsjahr (1.7.2011 - 30.6.2012) konnte Pakistan zwar ein Wirtschaftswachstum von 3,7% des BIP verzeichnen, dennoch bewegt sich die Wachstumsquote im vierten Jahr in Folge unter 4%. Die Inflationsrate beläuft sich zwischen 11 und 12%. (Quelle: Deutsches Auswärtiges Amt, im Internet unter: www.auswaertiges-amt.de Aussen- und Europapolitik Länderinformationen Pakistan Wirtschaft [Stand Oktober 2012]; Seite besucht im Januar 2013). Das Land verzeichnet aus den erwähnten Gründen eine anhaltend hohe Emigrationsrate, wobei nicht nur weitere Teile des arabischen Raumes, sondern auch Europa und hier unter anderem die Schweiz zu den Wunschdestinationen auswanderungswilliger Staatsbürger gehören. Die Tendenz zur Immigration in die Schweiz zeigt sich erfahrungsgemäss besonders stark bei Personen, die hier bereits über minimale soziale Kontakte verfügen.</w:t>
      </w:r>
    </w:p>
    <w:p>
      <w:r>
        <w:rPr>
          <w:b/>
        </w:rPr>
        <w:t>E. 5.4</w:t>
      </w:r>
    </w:p>
    <w:p>
      <w:r>
        <w:t>In Anbetracht der nach wie vor schwierigen wirtschaftlichen und politischen Lage in Pakistan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Allerdings wäre es zu schematisch und nicht halt­bar,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Namentlich können berufliche, gesell­schaftliche oder familiäre Verpflichtungen die Prognose einer an­standslosen Wiederausreise begünstigen. 6.6.1 Vorab ist festzuhalten, dass sich die Vorinstanz weder in der angefochtenen Verfügung noch in ihrer Vernehmlassung ausführlich mit den persönlichen Verhältnissen der Beschwerdeführerin auseinandergesetzt hat. 6.2 Bei der Beschwerdeführerin handelt es sich laut eigenen Angaben um eine 50-jährige, mit einem Offizier verheiratete Frau, welche in Rawalpindi, der viertgrössten Stadt Pakistans, lebt. Auch ihre Mutter wohnt in derselben Stadt. Diese Gegebenheiten sprechen für eine intakte soziale Struktur und einen engen familiären Bezug zum Heimatland. Insbesondere der Umstand, dass die Beschwerdeführerin für die Dauer des beabsichtigten Aufenthaltes in der Schweiz den Ehemann in Pakistan zurücklassen würde, lässt auf persönliche Verpflichtungen und daraus auf eine gewisse Verwurzelung schliessen, was die Gefahr einer Emigration im Vergleich zu jüngeren und ungebundenen Landsleuten relativiert. 6.3 Weiter wird vorgebracht, die Gesuchstellerin lebe in Pakistan in "hervorragenden" finanziellen Verhältnissen und besitze mehrere Immobilien. Dem Bankauszug der "Z._______" ist zu entnehmen, dass die Gesuchstellerin zusammen mit ihrem Ehemann im Juni 2012 über eine Barschaft von rund Euro 13'000 verfügte. Des Weiteren besitzt das Ehepaar ein Grundstück im Wert von rund Euro 7'200. Im Jahr 2012 betrug in Pakistan das Bruttonationaleinkommen pro Kopf USD 1120.--. (entspricht rund Euro 854) (Quelle: Deutsches Auswärtiges Amt, vgl. angeführte Website &gt; Reise und Sicherheit &gt; Reise- und Sicherheitshinweise &gt; Pakistan &gt; Pakistan [Stand Oktober 2012]; Seite besucht im Januar 2013). Das Vermögen der Eheleute entspricht somit mehr als dem zwanzigfachen des pakistanischen Bruttonationaleinkommen pro Kopf des letzten Jahres. Überdies besitzt der Ehemann der Beschwerdeführerin noch weitere Immobilien. Die Beschwerdeführerin verfügt somit über eine gesicherte wirtschaftliche Existenz in ihrem Heimatland, die geeignet ist, das Risiko einer nicht fristgerechten Wiederausreise nach einem Besuchsaufenthalt in der Schweiz entscheidend herabsetzen. 6.4 Insgesamt betrachtet verfügt die Beschwerdeführerin somit durchaus über eine massgebliche familiäre wie auch wirtschaftliche Verankerung in Pakistan. Die Vorinstanz hat es jedoch sowohl vor Erlass ihrer Verfügung wie auch in ihrer Vernehmlassung unterlassen, den dargestellten Sachverhalt eingehend zu prüfen. Vielmehr hebt sie hervor, einige Angehörige der Gesuchstellerin hätten sich in Europa festgesetzt, weshalb von einem erheblichen Risiko auszugehen sei, dass weitere Mitglieder dieses Verwandtenkreises versuchen würden, sich mit Hilfe eines Besuchervisums in Europa festzusetzen. In der Vernehmlassung reichte die Vorinstanz sodann einen Auszug des Zentralen Migrationssystems, den Beschwerdeführer betreffend, zu den Akten. Daraus ist ersichtlich, dass er im Jahr 1998 illegal in die Schweiz eingereist ist. Ein anschliessend gestelltes Asylgesuch wurde 1999 auch auf Beschwerdeebene abgewiesen. Der Vollzug der Wegweisung wurde jedoch im Februar 2000 ausgesetzt. Die von der Vorinstanz aufgeführte Gefahr weiterer Zuwanderungen von Familienmitgliedern vermag schon deshalb nicht zu überzeugen, weil die Asylgesuchseinreichung des Beschwerdeführers länger als 14 Jahre zurückliegt. Im fraglichen Jahr (1998) befanden sich immerhin noch 597 Personen aus Pakistan in der Schweiz im Asylprozess. Seitdem ist die Anzahl der Asylsuchenden aus diesem Land stetig zurückgegangen, wobei sich in den letzten Jahren noch knapp 170 Personen aus Pakistan im Asylprozess befanden (vgl. Asylstatistiken 1998 - 2011 des BFM, im Internet unter: www.bfm.admin.ch Dokumentation Zahlen und Fakten Asylstatistik Jahresstatistiken). Zudem handelt es sich in casu um zwei verschiedene Ausgangslagen, die sich keineswegs miteinander vergleichen lassen, reiste doch damals der erst 23-jährige und noch ledige Beschwerdeführer nicht besuchshalber in die Schweiz ein, sondern höchstwahrscheinlich im Hinblick auf bessere Zukunftsaussichten. 6.5. Im Weitern gilt es festzuhalten, dass im vorliegenden Fall keine Zweifel am deklarierten Aufenthaltszweck (Besuchsaufenthalt; vgl. Art. 15 Abs. 1 Bst. b i.V.m. Art. 16 und Art. 12 Abs. 2 Bst. c in fine VEV) bestehen. Die Beschwerdeführerin ist am 6. August 2012 Grossmutter geworden und möchte nun ihren Enkel sehen, was nachvollziehbar ist. 6.6 Überdies kommt hinzu, dass sich die Gesuchstellerin im Jahr 1997 bereits fünf Tage in Europa aufgehalten hat und anschliessend wieder in ihr Heimatland zurückgekehrt ist (vgl. Beilage 2 der Beschwerde). 7.Aus vorstehenden Erwägungen ergibt sich, dass in casu keine Hinderungsgründe im Sinne von Art. 5 SGK bzw. Art. 5 AuG erkennbar sind. Demzufolge ist festzu­stellen, dass die ange­fochtene Verfügung den rechtserheblichen Sach­verhalt unrichtig respektive unvollständig festhält und in fehler­hafter Aus­übung des Er­messens ergangen ist (Art. 49 Bst. a und b VwVG). Die Be­schwerde ist daher gutzuheissen, die angefochtene Verfügung auf­zuheben und die Sache zur neuerlichen Beurteilung an die Vorinstanz zurückzuweisen. Dabei ist vom BFM abzuklären, ob die in Art. 2 Abs. 1 VEV genannten Einreisevoraussetzungen gemäss Schengener Grenz­kodex erfüllt sind oder allenfalls gemäss Art. 2 Abs. 4 VEV aus huma­nitären Gründen ein Visum mit räumlich beschränkter Gültigkeit zu er­teilen ist. 8.Bei diesem Ausgang des Verfahrens sind keine Kosten aufzuerlegen (Art. 63 Abs. 1 und 2 VwVG) und der geleistete Kosten­vorschuss ist zurückzuerstatten. 9.Die Beschwerdeführer haben gemäss Art. 64 Abs. 1 VwVG Anrecht auf eine Parteientschädigung für die ihr erwachsenen notwendigen und ver-hältnismässig hohen Kosten (vgl. auch Art. 7 ff. des Reglements vom 21. Februar 2008 über die Kosten und Entschädigungen vor dem Bun-desverwaltungsgericht [VGKE, SR 173.320.2]). Diese Entschädigung geht zu Lasten der Vorinstanz (vgl. Art. 64 Abs. 2 VwVG). Es wurde keine Kostennote eingereicht, so dass das Gericht die Parteientschädigung aufgrund der Akten (vgl. Art. 14 VGKE i.V.m. Art. 10 Abs. 2 VGKE) festsetzt.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