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C-4912/2012 vom 7. Mai 2014</w:t>
      </w:r>
    </w:p>
    <w:p>
      <w:r>
        <w:t>Bundesverwaltungsgericht, 2014-05-07, DE</w:t>
      </w:r>
    </w:p>
    <w:p>
      <w:r>
        <w:rPr>
          <w:b/>
        </w:rPr>
        <w:t xml:space="preserve">Quelle: </w:t>
      </w:r>
      <w:r>
        <w:t>https://mcp.opencaselaw.ch/entscheid/bvger_C-4912_2012</w:t>
      </w:r>
    </w:p>
    <w:p>
      <w:r>
        <w:t>FR: TAF C-4912/2012 du 7 mai 2014</w:t>
      </w:r>
    </w:p>
    <w:p>
      <w:r>
        <w:t>IT: TAF C-4912/2012 del 7 maggio 2014</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BJ betreffend Sozialhilfeleistungen an Schweizer Staatsangehörige im Ausland nach Art. 14 Abs. 1 des Bundesgesetzes vom 21. März 1973 über Sozialhilfe und Darlehen an Schweizer Staatsangehörige im Ausland (BSDA, SR 852.1).</w:t>
      </w:r>
    </w:p>
    <w:p>
      <w:r>
        <w:rPr>
          <w:b/>
        </w:rPr>
        <w:t>E. 1.2</w:t>
      </w:r>
    </w:p>
    <w:p>
      <w:r>
        <w:t>Gemäss Art. 37 VGG richtet sich das Verfahren vor dem Bundesverwaltungsgericht nach dem Verwaltungsverfahrensgesetz, soweit das Gesetz nichts anderes bestimmt.</w:t>
      </w:r>
    </w:p>
    <w:p>
      <w:r>
        <w:rPr>
          <w:b/>
        </w:rPr>
        <w:t>E. 1.3</w:t>
      </w:r>
    </w:p>
    <w:p>
      <w:r>
        <w:t>Auf eine frist- und formgerechte Beschwerde (vgl. Art. 50 und Art. 52 VwVG) ist nur insoweit einzutreten, als der Beschwerdeführer zur Beschwerdeführung vor dem Bundesverwaltungsgericht legitimiert ist. Das ist dann der Fall, wenn er im vorinstanzlichen Verfahren als Partei teilgenommen hat, durch die angefochtene Verfügung besonders berührt ist und ein schutzwürdiges Interesse an deren Aufhebung oder Änderung hat, das im Urteilszeitpunkt noch aktuell ist (Art. 48 Abs. 1 VwVG).</w:t>
      </w:r>
    </w:p>
    <w:p>
      <w:r>
        <w:rPr>
          <w:b/>
        </w:rPr>
        <w:t>E. 1.3.1</w:t>
      </w:r>
    </w:p>
    <w:p>
      <w:r>
        <w:t>Der Beschwerdeführer hat als Partei am vorinstanzlichen Verfahren teilgenommen und ist zweifellos durch die angefochtene Verfügung besonders berührt (Art. 48 Abs. 1 Bst. a und Bst. b VwVG).</w:t>
      </w:r>
    </w:p>
    <w:p>
      <w:r>
        <w:rPr>
          <w:b/>
        </w:rPr>
        <w:t>E. 1.3.2</w:t>
      </w:r>
    </w:p>
    <w:p>
      <w:r>
        <w:t>Ein schutzwürdiges Interesse im Sinne von Art. 48 Abs. 1 Bst. c VwVG liegt grundsätzlich nur dann vor, wenn der Beschwerdeführer nicht bloss beim Einreichen der Beschwerde, sondern auch noch im Zeitpunkt der Urteilsfällung ein aktuelles praktisches Interesse an der Aufhebung oder Änderung der angefochtenen Verfügung hat (vgl. BGE 139 I 206 E. 1.1 mit Hinweisen). Das Interesse ist somit dann schutzwürdig, wenn durch den Ausgang des Verfahrens die tatsächliche oder rechtliche Situation des Beschwerdeführers noch beeinflusst werden kann (vgl. ausführlich BVGE 2009/31 E. 3.1). Praxisgemäss wird das Rechtsschutzinteresse immer dann verneint, wenn rein theoretische Probleme zur Diskussion gestellt werden (vgl. Urteil BVGer B-4037/2007 vom 29. Februar 2008 E. 7.3.2.2).</w:t>
      </w:r>
    </w:p>
    <w:p>
      <w:r>
        <w:rPr>
          <w:b/>
        </w:rPr>
        <w:t>E. 1.3.3</w:t>
      </w:r>
    </w:p>
    <w:p>
      <w:r>
        <w:t>Aus den Akten geht nicht hervor, ob beim Beschwerdeführer inzwischen eine Zahnbehandlung vorgenommen wurde, wie sie der Vertrauenszahnarzt vorgeschlagen hatte, und somit die von ihm ursprünglich beantragte Zahnsanierung (mittels Kronen) obsolet geworden wäre. Obwohl er mit Instruktionsverfügung vom 19. Februar 2014 aufgefordert wurde, diesbezüglich Auskunft zu geben und sein aktuelles Interesse darzulegen, hat er sich innert Frist nicht vernehmen lassen (vgl. Bst. G des Sachverhalts). Selbst wenn eine einfache Sanierung seiner Zähne durchgeführt worden wäre, könnte ihm - in Bezug auf eine allfällige weitere, zukünftige Zahnbehandlung - das Rechtsschutzinteresse jedoch nicht abgesprochen werden. Das schutzwürdige Interesse des Beschwerdeführers wäre in diesem Fall aber auf die Feststellung beschränkt, ob die angefochtene Verfügung zum Zeitpunkt ihres Erlasses rechtens war (vgl. Urteil BVGer C-984/2009 vom 22. Juli 2010 E. 1.3). Zumindest in diesem Rahmen ist die Legitimation des Beschwerdeführers zu bejahen; auf die im Übrigen frist- und formgerecht eingereichte Beschwerde ist daher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BVGer C-4398/2013 vom 23. Januar 2014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sowie Ziff. 1.1 der ab 1. Januar 2010 geltenden Richtlinien des BJ zur Sozialhilfe für Auslandschweizerinnen und Auslandschweizer [nachfolgend: Richtlinien], online unter: www.bj.admin.ch &gt; Themen &gt; Migration &gt; Sozialhilfe Auslandschweizer &gt; Auslandschweizer/in &gt; Richtlinien für die Behandlung von Gesuchen um Sozialhilfeunterstützung).</w:t>
      </w:r>
    </w:p>
    <w:p>
      <w:r>
        <w:rPr>
          <w:b/>
        </w:rPr>
        <w:t>E. 3.2</w:t>
      </w:r>
    </w:p>
    <w:p>
      <w:r>
        <w:t>Die Sozialhilfekosten im Ausland werden wiederkehrend oder einmalig ausgerichtet (Art. 4 Abs. 1 der Verordnung vom 4. November 2009 über Sozialhilfe und Darlehen an Schweizer Staatsangehörige im Ausland [VSDA, SR 852.11]), wobei im vorliegenden Fall eine Beschwerde gegen ein von der Vorinstanz (teilweise) abgewiesenes Gesuch um eine einmalige Unterstützung zu beurteilen ist. Anspruch auf eine einmalige Leistung hat gemäss Art. 10 Abs. 1 VSDA eine Person, wenn ihre anrechenbaren Einnahmen nach Abzug der anerkannten Ausgaben nicht ausreichen, um eine einmalige für den Lebensunterhalt notwendige Auslage zu bezahlen, und kein den Freibetrag übersteigendes liquidierbares Vermögen vorhanden ist. Ein Gesuch um eine einmalige Leistung ist bei der schweizerischen Vertretung zu stellen, wobei ein Budget sowie ein Kostenvoranschlag beizulegen sind (Art. 13 Abs. 1, 3 und 3 VSDA). Über eine einmalige Leistung kann das BJ in dringenden Fällen und in Härtefallen ohne Kostenvoranschlag der gesuchstellenden Person anhand vorgelegter Belege entscheiden (Art. 17 Abs. 3 VSDA).</w:t>
      </w:r>
    </w:p>
    <w:p>
      <w:r>
        <w:rPr>
          <w:b/>
        </w:rPr>
        <w:t>E. 4</w:t>
      </w:r>
    </w:p>
    <w:p>
      <w:r>
        <w:t>In casu ist unbestritten, dass die dem Beschwerdeführer gewährten periodischen Unterstützungsleistungen nicht ausreichen, um allfällige notwendige medizinische Behandlungen zu bezahlen. Die Übernahme solcher Kosten (gemäss Richtlinien und nach vorgängiger Rücksprache mit der Schweizer Botschaft) wurde ihm von der Vorinstanz denn auch schon am 13. April 2011 zugesichert (vgl. Bst. B des Sachverhalts). Strittig ist vorliegend nur Art und Umfang der medizinischen Behandlung (einfache Zahnsanierung oder Zahnsanierung mittels Kronen) und die damit verbundene Kostenübernahme.</w:t>
      </w:r>
    </w:p>
    <w:p>
      <w:r>
        <w:rPr>
          <w:b/>
        </w:rPr>
        <w:t>E. 4.1</w:t>
      </w:r>
    </w:p>
    <w:p>
      <w:r>
        <w:t>Medizinische oder therapeutische Massnahmen zählen fraglos zu den notwendigen Lebensbedürfnissen (siehe E. 3.1 vorstehend); damit sie von der Bundessozialhilfe übernommen werden können, müssen sie indessen sozialhilferechtlich als notwendig, zweckmässig und angemessen eingestuft werden. Bei den Zahnbehandlungen gilt in dieser Hinsicht der Grundsatz, dass in der Regel nur einfache Sanierungen der Zähne bezahlt werden. Gedeckt sind insbesondere jene Massnahmen, die Zahnschmerzen beseitigen und/oder die Kaufähigkeit sicherstellen. Stehen mehrere Behandlungsweisen offen, so gebührt der günstigsten Variante der Vorzug. Das Einsetzen von Brücken oder Kronen charakterisiert sich demgegenüber als eine ausserordentliche Behandlung, für welche im Normalfall keine Kostengutsprache geleistet wird. Anders verhält es sich dann, wenn die Gebissfront betroffen ist (zum Ganzen vgl. die SKOS-Richtlinien und die internen Richtlinien des BJ Ziff. 3.2.2 sowie Urteil BVGer C-2616/2008 vom 18. November 2008 E. 6.1).</w:t>
      </w:r>
    </w:p>
    <w:p>
      <w:r>
        <w:rPr>
          <w:b/>
        </w:rPr>
        <w:t>E. 4.2</w:t>
      </w:r>
    </w:p>
    <w:p>
      <w:r>
        <w:t>Handelt es sich um eine kostspielige Zahnbehandlung, so kann das Sozialhilfeorgan die freie Wahl des Zahnarztes gegebenenfalls einschränken und einen Vertrauenszahnarzt beiziehen. Mit Blick auf die Beurteilung der Notwendigkeit und Zweckmässigkeit der vom Beschwerdeführer bzw. von der UNITEC vorgesehenen Behandlung hat sich die Vorinstanz vorliegend dafür entschieden, bei ihrem Vertrauenszahnarzt eine Zweitmeinung einzuholen. Der Bericht des Vertrauenszahnarztes vom 6. Mai 2012 fällt eindeutig aus. Dieser schlägt eine einfache Sanierung (das Legen von Füllungen und die Entfernung nicht erhaltenswürdiger Zähne) statt eine Sanierung mittels Kronen und Brücken vor. Seiner Ansicht nach sollte eine Behandlung mittels Kronen und Brücken auch dann abgelehnt werden, wenn sie vergleichsweise günstig ist, da damit längerfristig höhere Folgekosten zu erwarten seien. Was die Kritik und die Einwände des Beschwerdeführers gegen den Vertrauenszahnarzt anbelangen, so gilt es hinzuzufügen, das Letzterer im Besitze der erforderlichen Röntgenbilder war. Selbst wenn der Vertrauenszahnarzt - wie vom Beschwerdeführer vorgebracht - von einer falschen Nummerierung der Zähne ausgegangen ist, ändert dies nichts am Ergebnis des Berichts, zumal die Beurteilung anhand des Röntgenbildes eines jeden einzelnen Zahnes vorgenommen wurde. Von einer falschen Beurteilung bzw. Fehldiagnostik kann demnach keine Rede sein. Im Übrigen handelt es sich bei den Einwänden des Beschwerdeführers - wie von der Vorinstanz in ihrer Vernehmlassung festgehalten - um Behauptungen, die nicht durch einen Zahnarzt bestätigt worden sind. Auch für das Bundesverwaltungsgericht besteht daher kein Anlass, am Befund des Sachverständigen zu zweifeln.</w:t>
      </w:r>
    </w:p>
    <w:p>
      <w:r>
        <w:rPr>
          <w:b/>
        </w:rPr>
        <w:t>E. 4.3</w:t>
      </w:r>
    </w:p>
    <w:p>
      <w:r>
        <w:t>Zusammenfassend ergibt sich, dass die Vorinstanz dem Beschwerdeführer zu Recht eine Unterstützung für eine Zahnsanierung mittels Kronen abgelehnt und eine Behandlung gemäss Vorschlag des Vertrauenszahnarztes bewilligt hat.</w:t>
      </w:r>
    </w:p>
    <w:p>
      <w:r>
        <w:rPr>
          <w:b/>
        </w:rPr>
        <w:t>E. 5</w:t>
      </w:r>
    </w:p>
    <w:p>
      <w:r>
        <w:t>Demnach gelangt das Bundesverwaltungsgericht zum Schluss, dass die angefochtene Verfügung zu Recht erging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