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C-4911/2008 vom 2. Juni 2010</w:t>
      </w:r>
    </w:p>
    <w:p>
      <w:r>
        <w:t>Bundesverwaltungsgericht, 2010-06-02, FR</w:t>
      </w:r>
    </w:p>
    <w:p>
      <w:r>
        <w:rPr>
          <w:b/>
        </w:rPr>
        <w:t xml:space="preserve">Quelle: </w:t>
      </w:r>
      <w:r>
        <w:t>https://mcp.opencaselaw.ch/entscheid/bvger_C-4911_2008</w:t>
      </w:r>
    </w:p>
    <w:p>
      <w:r>
        <w:t>FR: TAF C-4911/2008 du 2 juin 2010</w:t>
      </w:r>
    </w:p>
    <w:p>
      <w:r>
        <w:t>IT: TAF C-4911/2008 del 2 giugno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L'art. 40 du règlement du 17 janvier 1961 sur l'assurance-invalidité (RAI, RS 831.201) précise les compétences des offices AI cantonaux et de l'OAIE. Ce dernier est ainsi compétent pour enregistrer et examiner les demandes des assurés domiciliés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Il appartient à l'OAIE de notifier les décisions (art. 40 al. 2 RAI dernière phrase). L'art. 40 al. 3 RAI dispose encore que l'office AI compétent lors de l'enregistrement de la demande le demeure durant toute la procédure.</w:t>
      </w:r>
    </w:p>
    <w:p>
      <w:r>
        <w:rPr>
          <w:b/>
        </w:rPr>
        <w:t>E. 1.3</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La recourant, par son premier mandataire, fait valoir dans son recours que la motivation de la décision attaquée était insuffisante, les avis des médecins traitants de la recourante n'ayant pas été discuté et que le principe de la proportionnalité a aussi été violé. Ces griefs équivalent à invoquer une violation du droit d'être entendu, droit dont le respect est examiné d'office par le Tribunal de céans (cf. ATF 120 V 357 consid. 2a).</w:t>
      </w:r>
    </w:p>
    <w:p>
      <w:r>
        <w:rPr>
          <w:b/>
        </w:rPr>
        <w:t>E. 4.2</w:t>
      </w:r>
    </w:p>
    <w:p>
      <w:r>
        <w:t>En principe,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p, ATF 130 II 530 consid. 4.3).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 / GEORG MÜLLER / FELIX UHLMANN, Allgemeines Verwaltungsrecht, 5e éd., Zurich/Bâle/Genève 2006, n° 1711; Andreas Auer / Giorgio Malinverni / Michel Hotte-lier, Droit constitutionnel suisse, vol. II, Les droits fondamentaux, 2ème éd., Berne 2006, n° 1347 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 Dans un arrêt C-6034/2009 du 20 janvier 2010 le Tribunal de céans a eu l'occasion d'appliquer ces principes et d'annuler une décision de l'OAIE pour le motif que l'intéressé n'avait pas pu prendre connaissance du dossier de la cause et que la décision était insuffisamment motivée.</w:t>
      </w:r>
    </w:p>
    <w:p>
      <w:r>
        <w:rPr>
          <w:b/>
        </w:rPr>
        <w:t>E. 4.3</w:t>
      </w:r>
    </w:p>
    <w:p>
      <w:r>
        <w:t>En l'espèce, dans la réponse au recours du 22 septembre 2008, l'OCAI-GE a expliqué de manière détaillée les raisons de sa décision et cette réponse a été transmise au premier mandataire avec un délai pour présenter une réplique, délai qui est resté sans suite. La partie recourante aurait donc pu s'exprimer à ce sujet lors du deuxième échange d'écritures. Ensuite, le dossier complet de la cause a été transmis au deuxième mandataire qui s'est limité à transmettre, sans aucun commentaire, une documentation médicale. Compte tenu du plein pouvoir d'examen de ce Tribunal, on peut dès lors retenir que le grief concernant la violation du droit d'être entendu a été réparé, d'autant plus qu'un renvoi de la cause ne serait pas dans l'intérêt de l'assurée car il retarderait inutilement la procédure.</w:t>
      </w:r>
    </w:p>
    <w:p>
      <w:r>
        <w:rPr>
          <w:b/>
        </w:rPr>
        <w:t>E. 5</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En l'espèce, la recourante a déposé sa demande de prestations de l'assurance-invalidité le 16 janvier 2005 et la décision litigieuse la concernant a été prononcée le 12 juillet 2007. L'ensemble des faits déterminants s'étant produits avant son entrée en vigueur au 1er janvier 2008, les dispositions de la 5ème révision de la LAI et de la LPGA ne sont donc applicables et les dispositions citées ci-après sont, sauf précision contraire, celles en vigueur jusqu'au 31 décembre 2007.</w:t>
      </w:r>
    </w:p>
    <w:p>
      <w:r>
        <w:rPr>
          <w:b/>
        </w:rPr>
        <w:t>E. 6</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16 janvier 2004 (douze mois avant le dépôt de la demande) ou si le droit à une rente était né entre cette date et le 12 juillet 2007, date de la décision entreprise marquant la limite dans le temps du pouvoir d'examen de l'autorité de recours (ATF 130 V 445 consid. 1.2 et 1.2.1).</w:t>
      </w:r>
    </w:p>
    <w:p>
      <w:r>
        <w:rPr>
          <w:b/>
        </w:rPr>
        <w:t>E. 7.1</w:t>
      </w:r>
    </w:p>
    <w:p>
      <w:r>
        <w:t>Selon les normes en vigueur à la date de la décision attaquée, tout requérant doit remplir cumulativement les conditions suivantes pour avoir droit à une rente de l'assurance invalidité suisse : être invalide au sens de la LPGA/LAI et avoir versé des cotisations à l'AVS/AI durant une année au moins (art. 36 al. 1 LAI).</w:t>
      </w:r>
    </w:p>
    <w:p>
      <w:r>
        <w:rPr>
          <w:b/>
        </w:rPr>
        <w:t>E. 7.2</w:t>
      </w:r>
    </w:p>
    <w:p>
      <w:r>
        <w:t>En l'occurrence, la recourante a versé des cotisations à l'AVS/AI pendant plus d'une année au total et remplit, partant, la condition de la durée minimale de cotisations. Il reste dès lors à examiner si l'intéressée est invalide au sens de la LAI.</w:t>
      </w:r>
    </w:p>
    <w:p>
      <w:r>
        <w:rPr>
          <w:b/>
        </w:rPr>
        <w:t>E. 8</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d'un Etat de la Communauté européenne qui présentent un degré d'invalidité de 40% au moins, ont droit à un quart de rente en application de l'art. 28 al. 1 LAI s'ils ont leur domicile et leur résidence habituelle dans un Etat membre.</w:t>
      </w:r>
    </w:p>
    <w:p>
      <w:r>
        <w:rPr>
          <w:b/>
        </w:rPr>
        <w:t>E. 9.1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9.2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9.3</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10</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(cf. chiffre marginal 2020 de la Circulaire concernant l'invalidité et l'impotence dans sa version en vigueur jusqu'au 31 décembre 2007; Jurisprudence et pratique administrative des autorités d'exécution de l'AVS/AI [Pratique VSI] 2/1998 p. 126 consid. 3c). En l'espèce, il est établi que les plaintes de la recourante, pendant la période en examen, sont principalement liées à la fibromyalgie et à un état dépressif. Par voie de conséquence, eu égard au fait qu'il ne s'agit pas là d'un état de santé stabilisé, l'art. 29 al. 1 let. a LAI est inapplicable; seule peut entrer en considération l'art. 29 al. 1 let. b LAI, prévoyant en principe une période d'attente d'une année à partir du début de l'incapacité de travail relevante pour la détermination du début du droit à la rente.</w:t>
      </w:r>
    </w:p>
    <w:p>
      <w:r>
        <w:rPr>
          <w:b/>
        </w:rPr>
        <w:t>E. 11.1</w:t>
      </w:r>
    </w:p>
    <w:p>
      <w:r>
        <w:t>Le Tribunal fédéral s'est exprimé sur les conditions auxquelles des troubles somatoformes douloureux persistants peuvent présenter un caractère invalidant (ATF 130 V 352, arrêt du Tribunal fédéral I 515/03 en la cause F. du 15 septembre 2004 consid. 3.3.1 et 3.3.2 et les références citées). La fibromyalgie est assimilée par le Tribunal fédéral, en se fondant sur la science médicale, aux troubles somatoformes douloureux persistants (ATF 132 V 65 consid. 4.1 ; Jean Pirrotta, Les troubles somatoformes douloureux du point de vue de l'assurance-invalidité in: Revue suisse des assurances sociales et de la prévoyance professionnelle [RSAS] 2005 p. 517, 524). Il s'agit d'une affection rhumatismale reconnue par l'Organisation mondiale de la santé (OMS, CIM-10: M79), caractérisée par une douleur généralisée et chronique du système ostéo-articulaire accompagnée généralement d'une constellation de perturbations essentiellement subjectives (tels que fatigue, troubles du sommeil, sentiment de détresse, céphalées, manifestations digestives et urinaires d'allure fonctionnelle) ; les critères diagnostiques sont la combinaison d'une douleur généralisée intéressant l'axe du corps, les hémicorps droit et gauche au dessus et en dessous de la taille durant au moins trois mois ainsi que des douleurs à la palpation d'au moins onze points douloureux (tender points) sur dix-huit (ATF 132 V 65 consid. 3.2; Pierre-Alain Buchard, Peut-on encore poser le diagnostic de fibromyalgie ?, Revue médicale de la suisse romande, 2001, p. 444). Dans le monde médical le diagnostic de fibromyalgie est controversé. Pour certains médecins elle n'est pas une maladie mais le nom donné à des maux inexplicables qui relèveraient davantage d'une problématique bio-psycho-sociale que d'une véritable pathologie médicale. Pour d'autres médecins il s'agit d'une maladie, associée à d'autres phénomènes douloureux dont le trouble somatoforme douloureux et le syndrome de fatigue chronique, pathologies comptant une prépondérance de facteurs psychosomatiques (ATF 132 V 65 consid. 3.3 et les références médicales citées). En tant que telle la controverse sur la nature et les origines de la fibromyalgie n'est pas déterminante pour le juge. Seule l'est la répercussion de l'atteinte à la santé diagnostiquée sur la capacité de travail (art. 4 al. 1 LAI, art. 16 LPGA ; ATF 132 V 65 consid. 3.4).</w:t>
      </w:r>
    </w:p>
    <w:p>
      <w:r>
        <w:rPr>
          <w:b/>
        </w:rPr>
        <w:t>E. 11.2</w:t>
      </w:r>
    </w:p>
    <w:p>
      <w:r>
        <w:t>Selon la jurisprudence, des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D'ailleurs la plupart des patients atteints de fibromyalgie ne se trouvent pas notablement limités dans leurs activités (cf.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Les simples plaintes de l'assuré ne suffisent pas pour justifier une invalidité partielle voire entière, l'allégation des douleurs doit être confirmée par des observations médicales concluantes sans quoi l'égalité de traitement entre les assurés serait enfreinte. Une expertise interdisciplinaire prenant en compte les aspects rhumatologiques et psychiques s'impose de règle à moins que le médecin rhumatologue 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sévérité telle que, d'un point de vue objectif, la mise en valeur de la capacité de travail ne puisse pratiquement plus être raisonnablement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w:t>
      </w:r>
    </w:p>
    <w:p>
      <w:r>
        <w:rPr>
          <w:b/>
        </w:rPr>
        <w:t>E. 11.3</w:t>
      </w:r>
    </w:p>
    <w:p>
      <w:r>
        <w:t>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(ATF 132 V 65 consid. 4.2.2, 131 V 50, 130 V 354; Pirrotta in: RSAS 2005 p. 525s.). Tel est le cas, premièrement, des affections corporelles chroniques ou d'un processus maladif s'étendant sur plusieurs années sans rémission durable, deuxièmement, d'une perte d'intégration sociale dans toutes les manifestations de la vie, troisièmement, d'un état psychologique cristallisé, sans évolution possible au plan thérapeutique, marquant simultanément l'échec et la libération du processus de résolution du conflit psychique (profit primaire tiré de la maladie), ou, quatrièmement,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 douleurs mal définies et qu'il y a notamment absence de demande de soins, grandes divergences entre les informations fournies par le patient et celles ressortant de l'anamnèse, un environnement psychosocial intact (ATF 132 V 65 consid. 4.2).</w:t>
      </w:r>
    </w:p>
    <w:p>
      <w:r>
        <w:rPr>
          <w:b/>
        </w:rPr>
        <w:t>E. 12</w:t>
      </w:r>
    </w:p>
    <w:p>
      <w:r>
        <w:t>En l'espèce, l'OAIE estime que A._______ conserve une entière capacité de travail dans son activité habituelle et qu'elle ne saurait partant prétendre à des prestations de l'assurance-invalidité. La recourante avance, pour sa part, ne plus pouvoir travailler, même partiellement, et estime avoir droit à une pleine rente d'invalidité. Elle reproche notamment à l'OCAI-GE ne pas avoir pris en considération l'avis exprimé par la Drsse B._______ dans ses différents rapports médicaux.</w:t>
      </w:r>
    </w:p>
    <w:p>
      <w:r>
        <w:rPr>
          <w:b/>
        </w:rPr>
        <w:t>E. 12.1</w:t>
      </w:r>
    </w:p>
    <w:p>
      <w:r>
        <w:t>Le premier rapport médical versé au dossier, soit celui du 9 mars 2005 établi par la Drsse B._______, fait état d'atteintes rencontrées chez A._______ et qui la mettraient dans l'impossibilité d'occuper un poste comparable à ceux qu'elles avait eus précédemment. A ce titre, cette praticienne a notamment cité une fibromyalgie et un syndrome dépressif. Or, dans son rapport d'expertise psychiatrique du même jour, le Dr C._______ a exposé que l'on pouvait attendre de l'intéressée, qui souffrait exclusivement d'un syndrome douloureux somatoforme dans une forme légère à moyenne, qu'elle reprenne le travail immédiatement, soit à mi-temps pendant une semaine, puis à plein temps dès la semaine suivante. Ce médecin a décrit une patiente ne présentant pas d'altération significative de l'humeur, ayant un rythme et un contenu de sa pensée et de son discours normaux et étant en mesure de défendre correctement ses intérêts et de prendre en considération ceux des autres. La quantification des symptômes de la dépression selon l'échelle de Hamilton était très faible, soit de quatre sur une échelle de cinquante deux, et celle des symptômes de l'anxiété mineure, soit un score de 10 sur 15 et plus. Sur un plan fonctionnel, le Dr C._______ n'a cité aucune limitation. Par contre, dans le rapport du 14 mai 2005, le Dr D._______ a diagnostiqué une polymyalgie, en indiquant toutefois des limitations fonctionnelles relevant de la sphère des travaux de nature physiques et sans véritable lien avec la profession habituelle de la recourante. Dans leur expertise du 10 avri 2007, les Drs F._______ et G._______, respectivement rhumatologue et psychiatre, n'ont observé ni diagnostic invalidant ni limitation fonctionnelle en lien avec une activité de comptable, et ont estimé que les atteintes dont souffrait A._______ n'empiétaient pas sur sa capacité de travail. Le certificat médical émis par la Drsse B._______ au cours de la procédure d'audition en première instance confirme le diagnostic de fibromyalgie et, à teneur de la seconde prise de position émise par le Dr E._______ du SMR, n'apporte aucun élément nouveau.</w:t>
      </w:r>
    </w:p>
    <w:p>
      <w:r>
        <w:rPr>
          <w:b/>
        </w:rPr>
        <w:t>E. 12.2</w:t>
      </w:r>
    </w:p>
    <w:p>
      <w:r>
        <w:t>Bien que la recourante soutienne être dans l'incapacité totale de travailler, l'autorité de céans ne voit pas en quoi A._______ aurait été empêchée d'accomplir une activité lucrative jusqu'au jour de la décision entreprise. La recourante n'a fourni aucun document médical contredisant les actes figurant au dossier, ni n'a émis d'argumentation susceptible de modifier l'appréciation qui y est contenue. Comme il a été exposé ci-dessus, en présence d'un diagnostic de fibromyalgie une expertise psychiatrique est en principe nécessaire pour apprécier l'incidence qu'elle pourrait avoir sur la capacité de travail, à moins qu'une expertise rhumatologique puisse en écarter d'emblée la nécessité. Or, aucune des pièces versées au dossier, ni les allégations de la recourante, ne font état de troubles psychiques qui permettraient de soulever la question d'une inférence des troubles rhumatologiques avec des troubles psychiques d'une certaine gravité. Dans ce contexte, il sied encore de relever que dans son rapport du 9 mars 2005, le Dr C._______ a écarté toute gravité des atteintes psychiques dont souffraient A._______, de même que tout lien de comorbidité de ces atteintes avec la fibromyalgie. De plus, contrairement à ce que laisse entendre la recourante, les diagnostics retenus par l'ensemble des médecins dont les rapports figurent au dossier sont concordants. En effet, aucun ne réfute que l'intéressée souffre de fibromyalgie et de signes de dépression. La position exprimée par la Drsse B._______ en relation avec la capacité de travail est certes contredite par l'OCAI-GE et les expertises du Dr C._______ et des Drs F._______ et G._______, mais elle est également la moins étayée et n'est soutenue par aucune argumentation démonstrative. Somme toute et à la lumière de la jurisprudence du Tribunal fédéral, les pathologies dont se plaint l'intéressée, ne sauraient rendre cette dernière incapable d'exercer une activité lucrative telle que celle qu'elle avait exercée jusqu'en 2004. Il sied, dans cette mesure, de considérer que A._______ disposait au jour de la décision entreprise d'une pleine capacité de travail, de sorte qu'il appert manifeste que c'est à bon droit que l'autorité intimée a rejeté sa requête de prestations de l'assurance-invalidité. 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 recourante ne mette aucunement en valeur sa capacité de travail pour des raisons étrangères à l'invalidité ne relève pas de l'assurance invalidité, car il s'agit là de facteurs qui ne sont pas liés à l'invalidité et que l'AI n'est pas tenue de prendre en charge (RCC 1991 p. 329 consid. 3c). Dans ce contexte, la formation professionnelle, les aptitudes physiques et mentales de l'assuré, ainsi que son âge, ne sont pas des facteurs supplémentaires propres à influencer l'étendue de l'invalidité (RCC 1982 p. 34 consid. 2c).</w:t>
      </w:r>
    </w:p>
    <w:p>
      <w:r>
        <w:rPr>
          <w:b/>
        </w:rPr>
        <w:t>E. 13.1</w:t>
      </w:r>
    </w:p>
    <w:p>
      <w:r>
        <w:t>Les pièces produites par l'intéressée dans le cadre de son recours ne sauraient modifier ce qui précède. En effet, elles sont postérieures à la date de la décision attaquée, qui limite temporellement le pouvoir d'examen du Tribunal dans cette procédure, et ne précisent pas que les diagnostics y mentionnés auraient été décelés avant dite décision, au contraire.</w:t>
      </w:r>
    </w:p>
    <w:p>
      <w:r>
        <w:rPr>
          <w:b/>
        </w:rPr>
        <w:t>E. 13.2</w:t>
      </w:r>
    </w:p>
    <w:p>
      <w:r>
        <w:t>S'agissant plus particulièrement du certificat médical établi le 24 septembre 2007 par le Dr J._______ que la recourante a produit auprès du TCAS-GE, le Tribunal de céans relève que ce rapport médical indique expressément que la recourante souffre d'une nouvelle atteinte à la santé suite à la découverte d'un carcinome. Or, la découverte de cette nouvelle affection et le début du traitement qu'elle nécessite sont postérieures à la date de la décision attaquée, de sorte que le Tribunal ne peut en tenir compte d'autant plus que cette atteinte n'a pas de lien apparent avec l'état de santé de la recourante jusqu'au 12 juillet 2007, date de la décision attaquée.</w:t>
      </w:r>
    </w:p>
    <w:p>
      <w:r>
        <w:rPr>
          <w:b/>
        </w:rPr>
        <w:t>E. 14</w:t>
      </w:r>
    </w:p>
    <w:p>
      <w:r>
        <w:t>Par voie de conséquence, le recours doit être rejeté et la décision entreprise confirmée en tant qu'elle concerne la période s'étandant jusqu'au 12 juillet 2007. Toutefois, vu ce qui précède, le recours du 14 septembre 2007 doit être considéré comme une nouvelle demande de prestations et sera transmis à l'OAIE pour examen et nouvelle décision.</w:t>
      </w:r>
    </w:p>
    <w:p>
      <w:r>
        <w:rPr>
          <w:b/>
        </w:rPr>
        <w:t>E. 15</w:t>
      </w:r>
    </w:p>
    <w:p>
      <w:r>
        <w:t>Les frais de procédure, fixés à Fr. 300.--, sont mis à la charge de la recourante (art. 63 al. 1 PA, applicable par renvoi de l'art. 37 LTAF). Ils sont compensés par l'avance de frais dont A._______ s'est acquittée au cours de l'instruction. 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