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C-4905/2014 vom 17. März 2016</w:t>
      </w:r>
    </w:p>
    <w:p>
      <w:r>
        <w:t>Bundesverwaltungsgericht, 2016-03-17, FR</w:t>
      </w:r>
    </w:p>
    <w:p>
      <w:r>
        <w:rPr>
          <w:b/>
        </w:rPr>
        <w:t xml:space="preserve">Quelle: </w:t>
      </w:r>
      <w:r>
        <w:t>https://mcp.opencaselaw.ch/entscheid/bvger_C-4905_2014</w:t>
      </w:r>
    </w:p>
    <w:p>
      <w:r>
        <w:t>FR: TAF C-4905/2014 du 17 mars 2016</w:t>
      </w:r>
    </w:p>
    <w:p>
      <w:r>
        <w:t>IT: TAF C-4905/2014 del 17 marzo 2016</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qui statue comme autorité précédant le TF (cf. art. 1 al. 2 LTAF en relation avec l'art. 83 let. c ch. 2 a contrario LTF).</w:t>
      </w:r>
    </w:p>
    <w:p>
      <w:r>
        <w:rPr>
          <w:b/>
        </w:rPr>
        <w:t>E. 1.2</w:t>
      </w:r>
    </w:p>
    <w:p>
      <w:r>
        <w:t>A moins que la LTAF n'en dispose autrement, la procédure devant le TAF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A._______ a qualité pour recourir, étant donné qu'elle a participé à la procédure devant l'instance inférieure, qu'elle est spécialement atteinte par la décision querellée et a un intérêt digne de protection à son annulation. S'agissant de B._______, il faut admettre que la qualité est également donnée, dès lors que, ainsi que cela ressort des pièces au dossier, elle a été privée de la possibilité de prendre part à la procédure. En outre, présenté dans la forme et les délais prescrits par la loi, le recours est recevable (cf. art. 50 et 52 PA).</w:t>
      </w:r>
    </w:p>
    <w:p>
      <w:r>
        <w:rPr>
          <w:b/>
        </w:rPr>
        <w:t>E. 2</w:t>
      </w:r>
    </w:p>
    <w:p>
      <w:r>
        <w:t>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(Ordonnance du DFJP relative aux autorisations soumises à la procédure d'approbation et aux décisions préalables dans le domaine du droit des étrangers [RS 142.201.1]; cf. à ce sujet ATF 141 II 169 consid. 4). Il s'ensuit que le SEM et, a fortiori, le Tribunal ne sont pas liés par la décision prononcée par l'autorité neuchâteloise compétente en matière de droit des étrangers d'octroyer une autorisation de séjour à B._______ en application de l'art. 3 Annexe I ALCP et peuvent donc parfaitement s'écarter de l'appréciation de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135 I 153 consid. 2.1, ATF 135 I 143 consid. 1.3.1 et ATF 130 II 281 consid. 3.1 et les références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cf. également arrêt du Tribunal fédéral 2C_897/2013 du 16 avril 2014 consid.1.2 et la jurisprudence citée).</w:t>
      </w:r>
    </w:p>
    <w:p>
      <w:r>
        <w:rPr>
          <w:b/>
        </w:rPr>
        <w:t>E. 5.2</w:t>
      </w:r>
    </w:p>
    <w:p>
      <w:r>
        <w:t>En l'occurrence, B._______ est actuellement âgée de vingt ans et il ne ressort pas du dossier qu'elle se trouverait dans un état de dépendance particulier vis-à-vis de sa mère. Le fait qu'elle dépendrait financièrement de sa mère, comme cela a été allégué dans le mémoire de recours (cf. p. 4) ne saurait être considéré comme un motif pertinent au sens de la jurisprudence développée en la matière. Par conséquent, ni B._______ ni A._______ ne peuvent se prévaloir de l'art. 8 CEDH pour revendiquer l'octroi d'une autorisation de séjour en faveur de B._______.</w:t>
      </w:r>
    </w:p>
    <w:p>
      <w:r>
        <w:rPr>
          <w:b/>
        </w:rPr>
        <w:t>E. 6.1</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ailleurs, aux termes de l'art. 3 par. 2 let. a Annexe I ALCP, sont considérés comme membres de la famille, quelle que soit leur nationalité, le conjoint et leurs descendants de moins de 21 ans ou à charge.</w:t>
      </w:r>
    </w:p>
    <w:p>
      <w:r>
        <w:rPr>
          <w:b/>
        </w:rPr>
        <w:t>E. 6.2</w:t>
      </w:r>
    </w:p>
    <w:p>
      <w:r>
        <w:t>Le Tribunal fédéral a eu l'occasion de définir les conditions auxquelles un droit au regroupement familial au sens de cette disposition peut être invoqué (cf. ATF 136 II 65 consid. 5.2). Ainsi, il faut tout d'abord que le conjoint ressortissant de l'UE soit d'accord avec la venue de l'enfant de son partenaire puisque, à défaut, le regroupement familial ne servirait pas l'esprit de la libre circulation. Le regroupement familial a par ailleurs pour objet de protéger uniquement les relations familiales existantes, ce qui implique bien entendu non pas que les personnes concernées aient vécu ensemble mais qu'elles entretiennent une relation vécue, d'une intensité minimale. S'agissant des descendants mineurs, le parent qui requiert le regroupement familial doit être au bénéfice d'un droit de garde ou, en cas de droit de garde commun, recueillir l'accord préalable de l'autre parent. En outre, un logement doit être mis à disposition, qui permette de loger dans des conditions normales la personne en faveur de laquelle le regroupement familial est demandé. Enfin, la décision des parents de requérir le regroupement familial ne doit pas être en contradiction manifeste avec les principes définis par la Convention relative aux droits de l'enfant (CDE, RS 0.107).</w:t>
      </w:r>
    </w:p>
    <w:p>
      <w:r>
        <w:rPr>
          <w:b/>
        </w:rPr>
        <w:t>E. 6.3</w:t>
      </w:r>
    </w:p>
    <w:p>
      <w:r>
        <w:t>En l'espèce, il n'est pas contesté que la demande introduite par B._______ l'a été comme celle-ci était alors âgée de moins de 21 ans, aux fins de pouvoir rejoindre sa mère en Suisse, elle-même épouse d'un ressortissant membre de l'UE. Il n'est pas davantage contesté que l'époux de A._______ a donné son accord au regroupement familial de B._______ (cf. déclaration de prise en charge signée par C._______ le 17 novembre 2012 et lettre non datée signée par ce dernier, dans laquelle il déclare être d'accord d'accueillir dans son foyer la fille aînée de son épouse). Il convient donc d'examiner si les trois autres conditions, savoir celles relatives au logement, à la relation familiale vécue, d'une intensité minimale, et au respect des principes définis par la Convention relatives aux droits de l'enfant sont respectées, respectivement trouvent encore application au cas d'espèce.</w:t>
      </w:r>
    </w:p>
    <w:p>
      <w:r>
        <w:rPr>
          <w:b/>
        </w:rPr>
        <w:t>E. 6.4</w:t>
      </w:r>
    </w:p>
    <w:p>
      <w:r>
        <w:t>S'agissant de la condition relative au logement, le Tribunal observe qu'à teneur des directives du SEM, un logement est considéré comme approprié lorsqu'il permet de loger toute la famille sans être surpeuplé (cf. le ch. 6.4.2.2 des directives et circulaires du SEM, publiées sur le site internet www.sem.admin.ch Publications &amp; service Directives et circulaires I. Domaine des étrangers 1. Procédure et compétences, version du 6 janvier 2016, site consulté en mars 2016). La condition du "logement approprié" ne s'apprécie pas de la même manière dans toute la Suisse (sur cette question, cf. Commission fédérale pour les questions de migration [CFM], Les marges de manoeuvre au sein du fédéralisme: La politique de migration dans les cantons, étude publiée en 2011, en ligne sur son site [http://www.ekm.admin.ch, Publications Documentation sur la politique de migration], p. 77; voir également ALBERTO ACHERMANN, Le logement « convenable » comme condition pour le regroupement familial, contribution publiée en novembre 2004 par la CFM, en ligne sur son site, p. 27ss et p. 55ss). Pour la définition du logement approprié, le SEM, se fondant sur le critère du nombre de pièces, a ainsi établi la formule standard suivante: "nombre de personnes - 1 = taille minimale du logement" (cf. ch. 6.1.4 des directives susmentionnées). La majeure partie des cantons appliquent cette formule pour évaluer la taille appropriée d'un logement (cf. l'arrêt du Tribunal administratif fédéral C-4615/2012 du 9 décembre 2014 consid. 6.3.1 et les références citées). En l'espèce, il apparaît que A._______ partage un appartement de 4,5 pièces avec son époux, leurs deux enfants communs ainsi qu'avec ses filles jumelles. Force est par conséquent de constater que l'appartement des intéressés ne présente en principe pas le nombre de pièces requises pour loger convenablement B._______. Cela étant, dans un arrêt rendu le 17 novembre 2011 (arrêt 2C_194/2011 consid. 2.4.5), le Tribunal fédéral a quelque peu atténué la portée de cette exigence en la mettant en balance avec les intérêts de l'enfant en faveur duquel le regroupement familial est requis ainsi qu'avec le risque de dépendre des prestations de l'assistance publique en cas de modifications des conditions de logement. Or, ainsi que l'ont constamment invoqué les époux A._______ - C._______, sitôt qu'ils recevraient l'assurance de la délivrance d'une autorisation de séjour en faveur de B._______, ils procèderaient aux recherches nécessaires pour trouver un logement plus grand et davantage conforme aux besoins d'une famille de sept personnes dont trois adultes. Selon les pièces au dossier, il appert en outre que les époux A._______ - C._______ réalisent à eux deux un revenu mensuel de plus de 9'000 francs, lequel devrait leur permettre d'assumer les charges inhérentes à l'éducation de 5 enfants, dans un cadre adéquat et sans devoir recourir à des aides étatiques. Dans ces circonstances, le Tribunal considère qu'il est possible, dans le cadre de son pouvoir d'appréciation, de tempérer l'absence de réalisation, en l'état, de la condition relative au logement convenable. Sous cet angle, il importe de relever que, ce faisant, il rejoint les recommandations élaborées au plan européen en matière de regroupement familial, et selon lesquelles le respect de l'obligation du logement adéquat peut être apprécié soit sur la base de la situation du regroupant au moment de la demande, soit sur la base d'un pronostic fondé quant au logement qui pourrait vraisemblablement être disponible lorsque le regroupant sera rejoint par les membres de sa famille. En effet, en cas de longues périodes d'attente et de longs temps de traitement, il peut être disproportionné et nuisible à l'objectif de la directive et à son effet utile de demander que l'exigence du logement adéquat soit respectée au moment de la demande, dès lors que cela pourrait entraîner des charges financières et administratives supplémentaires considérables pour le regroupant (cf. Communication de la Commission au Conseil et au Parlement européen concernant les lignes directrices pour l'application de la directive 2003/86/CE relative au droit au regroupement familial).</w:t>
      </w:r>
    </w:p>
    <w:p>
      <w:r>
        <w:rPr>
          <w:b/>
        </w:rPr>
        <w:t>E. 6.5</w:t>
      </w:r>
    </w:p>
    <w:p>
      <w:r>
        <w:t>S'agissant de la qualité de la relation vécue entre B._______ et sa mère, le Tribunal relève ce qui suit. Il est vrai que dans le cadre des démarches effectuées en 2005, pour se voir délivrer une autorisation de séjour en raison de son premier mariage, A._______ a tu l'existence de sa fille B._______, tout comme elle a d'ailleurs caché le fait qu'elle était mère de jumelles. Interrogée par le Service des migrations sur les raisons de ce silence, A._______ a, par lettre du 20 mai 2013, expliqué qu'à l'époque elle n'avait pas eu l'intention de requérir le regroupement familial mais que depuis son second mariage et la naissance de deux enfants, elle avait éprouvé le désir de réunir tous ses enfants auprès d'elle. Le Tribunal ne saurait inférer de cette explication que A._______ avait cessé toute relation avec ses filles restées en République dominicaine, avant de faire usage de la possibilité de regroupement familial conférée par son mariage avec C._______. Ce point n'a d'ailleurs apparemment pas été soulevé lors de la venue des jumelles, en mai 2012. Par ailleurs, elle a également rendu vraisemblable le fait qu'il lui avait d'abord fallu obtenir un droit de garde sur sa fille, avant d'introduire une requête pour celle-ci; ce qui a d'ailleurs été fait puisque le jugement relatif au droit de garde a été rendu le 10 octobre 2012 et que B._______ a introduit sa requête auprès de l'Ambassade le 26 octobre 2012. Enfin, ainsi que cela ressort des diverses pièces produites, indépendamment de l'argent versé par A._______ à ses filles, la relation a été maintenue par de fréquents échanges téléphoniques et visites de A._______ (cf. interview de B._______ réalisée par l'Ambassade le 22 février 2013, lettre non datée de C._______, informations communiquées par A._______ sur le formulaire du Service des migrations daté du 8 novembre 2012, témoignage écrit de B._______, du 6 août 2014). Dans ces circonstances, on ne saurait considérer que la requête serait contraire à l'ordre public au sens de l'art. 5 par. 1 Annexe I ALCP ou encore qu'elle poursuivrait comme seul but l'opportunité d'offrir à B._______ de meilleures opportunités sur le plan économique en Suisse qu'en République dominicaine.</w:t>
      </w:r>
    </w:p>
    <w:p>
      <w:r>
        <w:rPr>
          <w:b/>
        </w:rPr>
        <w:t>E. 6.6</w:t>
      </w:r>
    </w:p>
    <w:p>
      <w:r>
        <w:t>S'agissant enfin de la condition relative au respect du bien de l'enfant, sous réserve de la question de l'abus, il convient de rappeler que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ATF 136 II 78 consid. 4.8 in fine; également l'arrêt du Tribunal fédéral 2C_1013/2013 du 17 avril 2014 consid. 3.1). Cela étant, dans la mesure où la question relative au respect du bien de l'enfant doit s'examiner à la lumière de la CDE et qu'aux termes de l'art. 1 CDE, cette convention ne s'applique qu'aux enfants jusqu'à l'âge de 18 ans, son examen a perdu toute pertinence dans la présente procédure.</w:t>
      </w:r>
    </w:p>
    <w:p>
      <w:r>
        <w:rPr>
          <w:b/>
        </w:rPr>
        <w:t>E. 7.1</w:t>
      </w:r>
    </w:p>
    <w:p>
      <w:r>
        <w:t>Il convient encore d'examiner dans quelle mesure la délivrance d'une autorisation de séjour à B._______ en application de l'art. 3 par. 1 Annexe I ALCP serait constitutif d'un abus de droit. Au considérant 6.5 ci-dessus, le Tribunal a déjà considéré - s'agissant de l'examen de la nature de la relation entretenue par B._______ avec sa mère - que la requête n'était pas contraire à l'ordre public au sens de l'art. 5 ALCP. A ces considérations s'ajoute le fait que la requête a été introduite alors que B._______ était âgée de 16 ans et dix mois, soit plus de 4 ans avant l'âge limite fixé par l'ALCP. Dans ces circonstances, on ne saurait retenir à l'encontre de B._______, respectivement à l'encontre de A._______ une volonté de contourner le but premier de l'ALCP, visant à permettre la vie commune des membres de la famille, par l'existence d'intérêts de nature purement économique (cf. arrêt du Tribunal fédéral 2C_767/2013 du 6 mars 2014 consid. 3.1 et 3.3).</w:t>
      </w:r>
    </w:p>
    <w:p>
      <w:r>
        <w:rPr>
          <w:b/>
        </w:rPr>
        <w:t>E. 7.2</w:t>
      </w:r>
    </w:p>
    <w:p>
      <w:r>
        <w:t>Aussi, au vu de ce qui précède, c'est à tort que le SEM a considéré, dans sa décision du 1er juillet 2014, que la requête introduite par B._______ était dictée avant tout par des considérations d'ordre économique et non dans le but premier de retrouver sa mère en Suisse.</w:t>
      </w:r>
    </w:p>
    <w:p>
      <w:r>
        <w:rPr>
          <w:b/>
        </w:rPr>
        <w:t>E. 8</w:t>
      </w:r>
    </w:p>
    <w:p>
      <w:r>
        <w:t>Compte tenu de l'ensemble des éléments exposés ci-dessus, le recours doit être admis, la décision attaquée annulée et la délivrance par les autorités cantonales neuchâteloise d'une autorisation de séjour au titre du regroupement familial approuvée, étant rappelé que B._______ ne disposera pas, le moment venu, d'un droit au renouvellement de celle-ci, puisqu'elle est désormais majeure.</w:t>
      </w:r>
    </w:p>
    <w:p>
      <w:r>
        <w:rPr>
          <w:b/>
        </w:rPr>
        <w:t>E. 9</w:t>
      </w:r>
    </w:p>
    <w:p>
      <w:r>
        <w:t>Bien qu'elle succombe, l'autorité inférieure n'a pas à supporter de frais de procédure (art. 63 al. 2 PA). Obtenant gain de cause, les recourantes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du cas d'espèce, le Tribunal estime, au regard des art. 8ss FITAF, que le versement d'un montant de 1'500 francs (couvrant l'ensemble des frais de représentation au sens de l'art. 9 al. 1 let. a à c FITAF, à savoir les honoraires d'avocat, les débours et la TVA)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