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C-4904/2011 vom 19. Februar 2013</w:t>
      </w:r>
    </w:p>
    <w:p>
      <w:r>
        <w:t>Bundesverwaltungsgericht, 2013-02-19, DE</w:t>
      </w:r>
    </w:p>
    <w:p>
      <w:r>
        <w:rPr>
          <w:b/>
        </w:rPr>
        <w:t xml:space="preserve">Quelle: </w:t>
      </w:r>
      <w:r>
        <w:t>https://mcp.opencaselaw.ch/entscheid/bvger_C-4904_2011</w:t>
      </w:r>
    </w:p>
    <w:p>
      <w:r>
        <w:t>FR: TAF C-4904/2011 du 19 février 2013</w:t>
      </w:r>
    </w:p>
    <w:p>
      <w:r>
        <w:t>IT: TAF C-4904/2011 del 19 febbraio 2013</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15. August 2011 (act. 281) ist der Beschwerdeführer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bildet die Verfügung der Vorinstanz vom 15. August 2011 (act. 281), mit welcher die Rentenzahlungen eingestellt worden sind. Streitig und zu prüfen ist die Rechtmässigkeit dieser Verfügung und in diesem Zusammenhang insbesondere, ob die Vorinstanz zu Recht auf die Durchführung einer polydisziplinäre Begutachtung in der Schweiz bestanden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besitzt die Schweizer Staatsbürgerschaft und wohnt in Brasilien, so dass vorliegend grundsätzlich das schweizerische Recht anwendbar ist.</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ist die Frage, ob die am 15. August 2011 verfügte Einstellung der Rentenzahlungen zu Recht erfolgt ist, unter anderem nach den Normen des IVG ab dem 1. Januar 2008 in der Fassung vom 6. Oktober 2006 (AS 2007 5129; 5. IV-Revi­sion) und der IVV in der ent­sprechenden Fassung der 5. IV-Revi­sion (AS 2003 3859 und 2007 5155) zu prüfen. Die Normen des vom Bundesrat auf den 1. Januar 2012 in Kraft gesetzten ersten Teils der 6. IV-Revision (IV-Revision 6a) sind vorliegend nicht anwendbar.</w:t>
      </w:r>
    </w:p>
    <w:p>
      <w:r>
        <w:rPr>
          <w:b/>
        </w:rPr>
        <w:t>E. 2.3</w:t>
      </w:r>
    </w:p>
    <w:p>
      <w:r>
        <w:t>Im Rahmen der allgemeinen Mitwirkungspflicht im Verwaltungsverfahren haben die Versicherten und ihre Arbeitgeber beim Vollzug der Sozialversicherungsgesetze unentgeltlich mitzuwirken. Wer Versicherungsleistungen beansprucht, muss unentgeltlich alle Auskünfte erteilen, die zur Abklärung des Anspruchs und zur Festsetzung der Versicherungsleistungen erforderlich sind (Art. 28 Abs. 1 und 2 ATSG). Gemäss Art. 43 Abs. 1 ATSG prüft der Versicherungsträger die Begehren, nimmt die notwendigen Abklärungen von Amtes wegen vor und holt die erforderlichen Auskünfte ein. Mündlich erteilte Auskünfte sind schriftlich festzuhalten. Soweit ärztliche oder fachliche Untersuchungen für die Beurteilung notwendig und zumutbar sind, hat sich die versicherte Person diesen zu unterziehen (Art. 43 Abs. 2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Verletzt die versicherte Person ihre Mitwirkungspflichten gemäss Art. 7 IVG oder Art. 43 Abs. 2 ATSG, so können die Leistungen unter Einhaltung des Mahn- und Bedenkzeitverfahrens gemäss Art. 21 Abs. 4 ATSG gekürzt oder verweigert werden (Art. 7b Abs. 1 IVG). In Abweichung von Art. 21 Abs. 4 ATSG können die Leistungen auch ohne Mahn- und Bedenkzeitverfahren gekürzt oder verweigert werden, wenn die versicherte Person trotz Aufforderung der IV-Stelle nach Art. 3c Abs. 6 IVG nicht unverzüglich eine Anmeldung vorgenommen hat und sich dies nachteilig auf die Dauer oder das Ausmass der Arbeitsunfähigkeit oder der Invalidität auswirkt, wenn sie der Meldepflicht nach Art. 31 Abs. 1 ATSG nicht nachgekommen ist, wenn sie Leistungen der Invalidenversicherung zu Unrecht erwirkt oder zu erwirken versucht hat oder wenn sie der IV-Stelle die Auskünfte nicht erteilt, welche diese zur Erfüllung ihrer gesetzlichen Aufgabe benötigt (Art. 7b Abs. 2 IVG).</w:t>
      </w:r>
    </w:p>
    <w:p>
      <w:r>
        <w:rPr>
          <w:b/>
        </w:rPr>
        <w:t>E. 3.1</w:t>
      </w:r>
    </w:p>
    <w:p>
      <w:r>
        <w:t>Im Urteil 9C_28/2010 vom 12. März 2010 erwog das Bundesgericht, dass die medizinische Abklärung der objektiven Gesundheitsschäden eine unabdingbare gesetzlich verankerte Voraussetzung für die Zusprache einer Leistung der Invalidenversicherung (Art. 7 Abs. 2, Art. 16, Art. 43 Abs. 1 ATSG) sei. Der Versicherer befinde darüber, mit welchen Mitteln er den rechtserheblichen Sachverhalt abkläre. Im Rahmen der Verfahrensleitung habe er einen grossen Ermessensspielraum hinsichtlich Notwendigkeit, Umfang und Zweckmässigkeit von medizinischen Erhebungen. Was zu beweisen sei, ergebe sich aus der Sach- und Rechtslage. Gestützt auf den Untersuchungsgrundsatz habe der Versicherer den Sachverhalt soweit zu ermitteln, dass er über den Leistungsanspruch zumindest mit dem Beweisgrad der überwiegenden Wahrscheinlichkeit entscheiden könne. Dabei komme Sachverständigengutachten eine massgebende Rolle zu. Der Untersuchungsgrundsatz werde ergänzt durch die Mitwirkungspflichten der versicherten Person. Danach habe sie sich den ärztlichen oder fachlichen Untersuchungen zu unterziehen, wenn sie zumutbar seien. Nach dem Wortlaut von Art. 43 Abs. 1 und Abs. 2 ATSG müssten jene Untersuchungen aber auch notwendig und somit von entscheidender Bedeutung für die Erstellung des rechtserheblichen Sachverhalts sein. Die versicherte Person habe sich somit nicht jeglicher Untersuchung zu unterziehen, soweit sie sich nicht als unzumutbar erweise. In diesem Sinne liege die medizinische Begutachtung nicht im uneingeschränkten Ermessen der rechtsanwendenden Stellen. Diese würden sich von rechtsstaatlichen Grundsätzen leiten zu lassen haben, wozu die Verpflichtung zur Objektivität und Unvoreingenommenheit ebenso gehöre wie der Grundsatz der rationellen Verwaltung (E. 4.1 mit weiteren Hinweisen auf Rechtsprechung und Lehre).</w:t>
      </w:r>
    </w:p>
    <w:p>
      <w:r>
        <w:rPr>
          <w:b/>
        </w:rPr>
        <w:t>E. 3.2.1</w:t>
      </w:r>
    </w:p>
    <w:p>
      <w:r>
        <w:t>Mit Blick auf die vorstehend zusammengefasst wiedergegebene höchstrichterliche Rechtsprechung hat die IV-Stelle in Zusammenarbeit mit ihrem medizinischen Dienst zu entscheiden, mit welchen Mitteln der medizinische Sachverhalt abzuklären ist. Dr. med. D._______ vom medizinischen Dienst der Vorinstanz war in ihrer Stellungnahme vom 13. Dezember 2010 - welche als ein entscheidrelevanter Bericht im Sinne von Art. 59 Abs. 2bis IVG zu werten ist (vgl. Urteil I 143/07 des BGer vom 14. September 2007 E. 3.3 mit Hinweisen; vgl. auch Urteil I 694/05 des EVG vom 15. Dezember 2006 E. 5) - der Ansicht, dass in neurologisch-neuropsychologischer, psychiatrischer und orthopädischer Hinsicht eine Begutachtung des Beschwerdeführers in einer schweizerischen Klinik notwendig sei (act. 256).</w:t>
      </w:r>
    </w:p>
    <w:p>
      <w:r>
        <w:rPr>
          <w:b/>
        </w:rPr>
        <w:t>E. 3.2.2</w:t>
      </w:r>
    </w:p>
    <w:p>
      <w:r>
        <w:t>Dass die Vorinstanz auf einer Begutachtung besteht, lässt sich mit Blick auf die vorstehend zusammengefasst wiedergegebene Rechtsprechung bzw. den der IVSTA zustehenden grossen Ermessensspielraum nicht beanstanden, zumal bei komplexen Fällen - wie sie länger andauernde Beschwerden nach Schleudertrauma der HWS häufig darstellen - in der Regel eine interdisziplinäre Abklärung und Beurteilung durch Fachärzte angezeigt ist (vgl. Urteil 8C_733/2010 des Bundesgerichts vom 10. Dezember 2010 E. 5.2 mit Hinweis auf BGE 134 V 109 E. 9.3). Dasselbe gilt auch dann, wenn - was vorliegend mit Blick auf die Stellungnahme von Dr. med. D._______ vom 13. Dezember 2010 durchaus möglich sein könnte - physische und psychische Beeinträchtigungen zusammenwirken bzw. eine isolierte Betrachtung der somatischen und psychischen Befunde nicht gerechtfertigt ist (vgl. Urteile des BGer 8C_168/2008 vom 11. August 2008 E. 6.2.2 und 8C_189/2008 vom 4. Juli 2008 E. 5 mit Hinweisen).</w:t>
      </w:r>
    </w:p>
    <w:p>
      <w:r>
        <w:rPr>
          <w:b/>
        </w:rPr>
        <w:t>E. 3.2.3</w:t>
      </w:r>
    </w:p>
    <w:p>
      <w:r>
        <w:t>Zu keinen Beanstandungen Anlass gibt auch der Umstand, dass die Begutachtung gemäss der Auffassung der Vorinstanz in der Schweiz zu erfolgen hat, zumal kein Rechtsanspruch auf eine Begutachtung im Ausland besteht (Urteil des Bundesverwaltungsgericht C-5441/2007 vom 18. Mai 2009 E. 4.2.1 am Schluss mit Hinweis auf Urteil I 172/02 des EVG vom 7. Februar 2003 E. 4.5 mit Hinweis). Zwar kann sich die Anordnung einer Begutachtung in der Schweiz unter der Bedingung, dass die Abklärung ohne Weiteres auch am Wohnort der versicherten Person durchgeführt werden könnte, als nicht erforderlich und daher unverhältnismässig erweisen (vgl. Urteil BGer I 166/06 vom 30. Januar 2007). Vorliegend ist jedoch die Voraussetzung, dass in Brasilien eine mit den Grundsätzen der schweizerischen Versicherungsmedizin ebenso vertraute - und in diesem Sinne gleichwertige - Abklärungsstelle vorhanden wäre wie in der Schweiz, nicht erfüllt (vgl. Urteil des Bundesverwaltungsgerichts C-5441/2007 vom 18. Mai 2009 E. 4.2.1 2. Absatz). Der Grund dafür liegt insbesondere im Umstand, dass brasilianische Ärzte und Ärztinnen mit überwiegender Wahrscheinlichkeit (vgl. hierzu BGE 126 V 353 E. 5b, 125 V 193 E. 2; RKUV 2001 U 413 S. 86 E. 5b) keine ausreichenden Kenntnisse der Grundsätze der schweizerischen Versicherungsmedizin haben. Solche sind im vorliegenden Verfahren jedoch zwingend erforderlich, um die Fragen nach dem Gesundheitszustand in gesamtmedizinischer Hinsicht und dem (objektiv) vorhandenen Leistungspotenzial zuverlässig beantworten zu können. Der Beschwerdeführer kann daher aus seiner Bereitschaft, sich in Brasilien begutachten zu lassen, nichts zu seinen Gunsten ableiten. Nachfolgend ist weiter die Frage zu klären, ob der Beschwerdeführer Rechtfertigungsgründe für die Verweigerung der Untersuchung in der Schweiz geltend machen kann.</w:t>
      </w:r>
    </w:p>
    <w:p>
      <w:r>
        <w:rPr>
          <w:b/>
        </w:rPr>
        <w:t>E. 4.1</w:t>
      </w:r>
    </w:p>
    <w:p>
      <w:r>
        <w:t>Nach dem Wortlaut von Art. 43 Abs. 3 ATSG liegt eine Verletzung der Mitwirkungspflicht nur dann vor, wenn sie in unentschuldbarer und somit schuldhafterweise erfolgt ist. Dies ist dann der Fall, wenn kein Rechtfertigungsgrund erkennbar ist oder sich das Verhalten der versicherten Person als völlig unverständlich erweist (Urteile des BGer 8C_396/2012 vom 16. Oktober 2012 E. 5 mit Hinweisen und I 166/06 des BGer vom 30. Januar 2007 E. 5.1 mit Hinweis). Weigert sich die versicherte Person, an der Begutachtung teilzunehmen, trägt sie nur dann die Konsequenzen der Untersuchungsverweigerung (vgl. Urteil 8C_733/2010 des BGer vom 10. Dezember 2010 E. 3.2), wenn die Verweigerung der Mitwirkung nicht auf entschuldbaren Gründen beruht, etwa weil sie der versicherten Person nicht zugerechnet werden kann, da sie krankheitshalber oder aus anderen Gründen nicht in der Lage war, ihren Pflichten nachzukommen (vgl. Urteil 8C_733/2010 des BGer vom 10. Dezember 2010 E. 5.3 mit weiteren Hinweisen auf Rechtsprechung und Literatur). Das trifft in Bezug auf den Beschwerdeführer unbestrittenermassen jedoch nicht zu. Hinzu kommen in Übereinstimmung mit der Vorinstanz auch keine geltend gemachten, begründeten Ausstands- oder Ablehnungsgründe - was eine Verweigerung der Mitwirkung als gerechtfertigt erscheinen lassen könnte (vgl. hierzu Urteil 8C_418/2009 des BGer vom 28. Juli 2009 E. 1.1 und 2.1 mit Hinweis[en]).</w:t>
      </w:r>
    </w:p>
    <w:p>
      <w:r>
        <w:rPr>
          <w:b/>
        </w:rPr>
        <w:t>E. 4.2</w:t>
      </w:r>
    </w:p>
    <w:p>
      <w:r>
        <w:t>Das Argument des Beschwerdeführers, dass ihm bei Einreise in die Schweiz eine monatelange Untersuchungshaft drohe, stellt keinen Rechtfertigungsgrund im Sinne der höchstrichterlichen Rechtsprechung dar und ist IV-rechtlich zweifellos irrelevant. Der Umstand, dass der Beschwerdeführer - indem er die Vorinstanz daran gehindert hat, den rechtserheblichen Sachverhalt festzustellen - in unentschuldbarer Weise seiner Mitwirkungspflicht nicht nachgekommen ist, hat eine Umkehr der Beweislast zu Folge (vgl. Urteil 8C_733/2010 des Bundesgerichts vom 10. Dezember 2010, E. 3.2 mit Hinweis). Jenem ist jedoch der Nachweis, dass sich sein Gesundheitszustand oder andere entscheidwesentliche Umstände nicht in einem den Invaliditätsgrad beeinflussenden Ausmass verändert haben (SVR 2010 IV Nr. 30 S. 94, 9C_961/2008 E. 6.3.3), durch das Einreichen zahlreicher medizinischer Dokumente aus Brasilien nach dem Dargelegten nicht gelungen - ganz im Gegenteil, denn indem der Beschwerdeführer selbst eingeholte Arztberichte zu den Akten gab und die Vorinstanz daran gehindert hatte, deren Ergebnisse durch eigene Abklärungen in der Schweiz zu überprüfen, hat er sich rechtsmissbräuchlich verhalten (vgl. Urteil 9C_28/2010 des BGer vom 12. März 2010 E. 4.1 mit Hinweisen).</w:t>
      </w:r>
    </w:p>
    <w:p>
      <w:r>
        <w:rPr>
          <w:b/>
        </w:rPr>
        <w:t>E. 5.1</w:t>
      </w:r>
    </w:p>
    <w:p>
      <w:r>
        <w:t>Mit der beschwerdeweise vorgebrachten Argumentation des Beschwerdeführers, es sei nicht ersichtlich, um welche "Informationen" es sich gehandelt haben soll, die zur Einstellung der Rente geführt hätten, liess er eine Verletzung des rechtlichen Gehörs rügen. Diesbezüglich ist festzustellen, dass nach Art. 29 Abs. 2 der Bundesverfassung der Schweizerischen Eidgenossenschaft vom 18. April 1999 (BV, SR 101) die Parteien Anspruch auf rechtliches Gehör haben. Diese Regelung bezweckt namentlich, verschiedene durch die bundesgerichtliche Rechtsprechung zu Art. 4 aBV konkretisierte Teilaspekte des Verbots der formellen Rechtsverweigerung in einem Verfassungsartikel zusammenzufassen. Hinsichtlich des in Art. 29 Abs. 2 BV nicht näher umschriebenen Anspruchs auf rechtliches Gehör ergibt sich daraus, dass die unter der Herrschaft der aBV hierzu ergangene Rechtsprechung nach wie vor massgebend ist (BGE 126 V 130 E. 2a).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(BGE 127 V 431 E. 3d aa, 126 I 68 E. 2, 126 V 130 E. 2b; SVR 2010 IV Nr. 14 S. 45 E. 2.4.1, 2008 IV Nr. 6 S. 15 E. 3.5).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116 V 182 E. 3d; SVR 2008 IV Nr. 6 S. 15 E. 3.5; vgl. auch RKUV 1998 U 309 S. 461 f. E. 4c).</w:t>
      </w:r>
    </w:p>
    <w:p>
      <w:r>
        <w:rPr>
          <w:b/>
        </w:rPr>
        <w:t>E. 5.2</w:t>
      </w:r>
    </w:p>
    <w:p>
      <w:r>
        <w:t>Die Vorinstanz kann sich auf die für den Entscheid wesentlichen Gesichtspunkte beschränken (BGE 124 V 180 E. 1a; SVR 2009 UV Nr. 32 S. 112 E. 3.1 mit Hinweis, 1996 UV Nr. 62 E. 4; RKUV 1994 K 928 S. 12 E. 2b). Die Frage, um welche Informationen es sich gehandelt hat, kann vorliegend offen gelassen werden. Selbst wenn davon ausgegangen würde, dass die Vorinstanz dadurch ihre Begründungspflicht (vgl. Art. 49 Abs. 3 ATSG) als wesentlichen Bestandteil des Anspruchs auf rechtliches Gehör im Sinne von Art. 29 Abs. 2 BV verletzt hätte, könnte dieser Mangel im vorliegenden Verfahren als geheilt gelten. Dies insbesondere auch unter den Aspekten, dass sich der Rechtsvertreter vor dem Bundesverwaltungsgericht - welches über eine volle Kognition verfügt (vgl. E. 1.5 hiervor) - im Rahmen der Beschwerde vom 16. September 2011 (B-act. 1) ausführlich hatte äussern können, auf die Eingabe einer Replik verzichtet worden war (vgl. B-act. 10), dem Beschwerdeführer kein Nachteil erwachsen war (BGE 107 Ia 1) und die Rückweisung zu einem formalistischen Leerlauf und damit zu unnötigen Verzögerungen führen würde, die mit dem Interesse des Beschwerdeführers an einer beförderlichen Beurteilung der Sache nicht zu vereinbaren wären.</w:t>
      </w:r>
    </w:p>
    <w:p>
      <w:r>
        <w:rPr>
          <w:b/>
        </w:rPr>
        <w:t>E. 6</w:t>
      </w:r>
    </w:p>
    <w:p>
      <w:r>
        <w:t>Aufgrund der vorstehenden Erwägungen ist zusammenfassend festzustellen, dass eine Begutachtung in der Schweiz in einer entsprechenden Klinik im Sinne von Art. 43 Abs. 2 ATSG zumutbar resp. eine schuldhafte Unterlassung der notwendigen und zumutbaren Mitwirkung des Beschwerdeführers bei der Abklärung des Sachverhalts in medizinischer Hinsicht erstellt ist. Der Vorinstanz kann keine Verletzung der Untersuchungspflicht vorgeworfen werden. Vielmehr war sie ohne weiteres berechtigt, in Anwendung von Art. 43 Abs. 3 ATSG auf Grund der Akten zu entscheiden. Weiter könnte - selbst wenn die Vorinstanz ihre Begründungspflicht als wesentlichen Bestandteil des Anspruchs auf rechtliches Gehör verletzt hätte, dieser Mangel im vorliegenden Verfahren als geheilt gelten.</w:t>
      </w:r>
    </w:p>
    <w:p>
      <w:r>
        <w:rPr>
          <w:b/>
        </w:rPr>
        <w:t>E. 7</w:t>
      </w:r>
    </w:p>
    <w:p>
      <w:r>
        <w:t>Zu befinden bleibt noch über die Verfahrenskosten und eine allfällige Parteientschädigung.</w:t>
      </w:r>
    </w:p>
    <w:p>
      <w:r>
        <w:rPr>
          <w:b/>
        </w:rPr>
        <w:t>E. 7.1</w:t>
      </w:r>
    </w:p>
    <w:p>
      <w:r>
        <w:t>Gemäss Art. 69 Abs. 1bis in Verbindung mit Art. 69 Abs. 2 IVG ist das Beschwerdeverfahren bei Streitigkeiten um die Bewilligung oder Verweigerung von IV-Leistungen vor dem Bundesverwaltungsgericht kostenpflichtig. Die Verfahrenskosten werden grundsätzlich der unterliegenden Partei auferlegt. Mit Zwischenverfügung vom 13. Dezember 2011 (B-act. 10) wurde das Gesuch des Beschwerdeführers vom 16. September 2011 um unentgeltliche Rechtspflege gutgeheissen, weshalb auf die Erhebung von Verfahrenskosten zu verzichten ist.</w:t>
      </w:r>
    </w:p>
    <w:p>
      <w:r>
        <w:rPr>
          <w:b/>
        </w:rPr>
        <w:t>E. 7.2</w:t>
      </w:r>
    </w:p>
    <w:p>
      <w:r>
        <w:t>Dem unterliegenden Beschwerdeführer ist keine Parteientschädigung zuzusprechen (Art. 64 Abs. 1 VwVG i. V. m. Art. 7 Abs. 1 des Reglements vom 21. Februar 2008 über die Kosten und Entschädigungen vor dem Bundesverwaltungsgericht [VGKE, SR 173.320.2] e contrario), und die obsiegende Vorinstanz hat keinen Anspruch auf Parteientschädigung (Art. 7 Abs. 3 VGKE). Der Rechtsvertreter des Beschwerdeführers hat zufolge Gewährung der unentgeltlichen Rechtspflege einen Anspruch auf eine Entschädigung aus der Gerichtskasse. Da im vorliegenden Verfahren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2'400.- (inkl. Auslagen, ohne Mehrwertsteuer [vgl. dazu auch Urteil des Bundesverwaltungsgerichts C-6173/2009 vom 29. August 2011 mit Hinweis]; Art. 9 Abs. 1 in Verbindung mit Art. 10 Abs. 2 VGKE) gerechtfertigt.</w:t>
      </w:r>
    </w:p>
    <w:p>
      <w:r>
        <w:rPr>
          <w:b/>
        </w:rPr>
        <w:t>E. 7.3</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