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C-4902/2015 vom 8. März 2016</w:t>
      </w:r>
    </w:p>
    <w:p>
      <w:r>
        <w:t>Bundesverwaltungsgericht, 2016-03-08, FR</w:t>
      </w:r>
    </w:p>
    <w:p>
      <w:r>
        <w:rPr>
          <w:b/>
        </w:rPr>
        <w:t xml:space="preserve">Quelle: </w:t>
      </w:r>
      <w:r>
        <w:t>https://mcp.opencaselaw.ch/entscheid/bvger_C-4902_2015</w:t>
      </w:r>
    </w:p>
    <w:p>
      <w:r>
        <w:t>FR: TAF C-4902/2015 du 8 mars 2016</w:t>
      </w:r>
    </w:p>
    <w:p>
      <w:r>
        <w:t>IT: TAF C-4902/2015 del 8 marzo 2016</w:t>
      </w:r>
    </w:p>
    <w:p>
      <w:pPr>
        <w:pStyle w:val="Heading2"/>
      </w:pPr>
      <w:r>
        <w:t>Regeste</w:t>
      </w:r>
    </w:p>
    <w:p>
      <w:r>
        <w:t>Mesures de réadaptation</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payée, le recours est recevable.</w:t>
      </w:r>
    </w:p>
    <w:p>
      <w:r>
        <w:rPr>
          <w:b/>
        </w:rPr>
        <w:t>E. 1.5</w:t>
      </w:r>
    </w:p>
    <w:p>
      <w:r>
        <w:t>En application de l'art. 40 al. 2 du règlement du 17 janvier 1961 sur l'assurance-invalidité (RAI, RS 831.201) l'office AI du secteur d'activité dans lequel le frontalier exerce une activité lucrative est compétent pour enregistrer et examiner les demandes présentées par les frontaliers. La disposition prévoit cependant que l'OAIE notifie la décision. L'OAI-GE a ainsi enregistré et instruit la demande dont la décision, notifiée par l'OAIE conformément à la disposition précitée, a été déférée devant le Tribunal de céans en l'espèce compétent (cf. consid. 1.1).</w:t>
      </w:r>
    </w:p>
    <w:p>
      <w:r>
        <w:rPr>
          <w:b/>
        </w:rPr>
        <w:t>E. 2.1</w:t>
      </w:r>
    </w:p>
    <w:p>
      <w:r>
        <w:t>Le recourant est ressortissant français domicilié en France. 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(art. 1er al. 2 de l'annexe II de l'ALCP).</w:t>
      </w:r>
    </w:p>
    <w:p>
      <w:r>
        <w:rPr>
          <w:b/>
        </w:rPr>
        <w:t>E. 2.2</w:t>
      </w:r>
    </w:p>
    <w:p>
      <w:r>
        <w:t>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 883/2004 (avec annexes) (RS 0.831.109.268.11). Les anciens règlements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2.4</w:t>
      </w:r>
    </w:p>
    <w:p>
      <w:r>
        <w:t>Dans la mesure où l'accord, en particulier son annexe II qui régit la coordination des systèmes d'assurances sociales (art. 8 ALCP) ne prévoit pas de disposition contraire, l'organisation de la procédure de même que l'examen des conditions à l'octroi de prestations suisses ressortissent au droit interne suisse.</w:t>
      </w:r>
    </w:p>
    <w:p>
      <w:r>
        <w:rPr>
          <w:b/>
        </w:rPr>
        <w:t>E. 2.5</w:t>
      </w:r>
    </w:p>
    <w:p>
      <w:r>
        <w:t>Même après l'entrée en vigueur de l'ALCP, le degré d'invalidité d'un assuré qui prétend à des prestations de l'assurance-invalidité suisse est déterminé exclusivement d'après le droit suisse (ATF 130 V 253 consid. 2.4). Cela étant, la documentation médicale et administrative fournie par les institutions de sécurité sociale d'un autre Etat membre doit être prise en considération (art. 49 al. 2 du règlement [CE] n° 987/2009).</w:t>
      </w:r>
    </w:p>
    <w:p>
      <w:r>
        <w:rPr>
          <w:b/>
        </w:rPr>
        <w:t>E. 3.1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6ème révision de la LAI (premier volet) en vigueur depuis le 1er janvier 2012 (RO 2011 5659, FF 2010 1647) sont applicables. En vertu de l'art. 29 al. 1 LAI le droit à la rente prend naissance au plus tôt à l'échéance d'une période de six mois à compter de la date à laquelle l'assuré a fait valoir son droit aux prestations conformément à l'art. 29 al. 1 LPGA. En l'espèce, le Tribunal peut se limiter à examiner si le recourant remplissait les conditions d'octroi de prestations depuis le 1er mars 2014 (art. 29 al. 1 LAI, cf. la demande de prestations d'invalidité déposée le 13 septembre 2013 [pce 13]) jusqu'au 10 juillet 2015, date de la décision attaquée marquant la limite dans le temps du pouvoir d'examen de l'autorité de recours (ATF 129 V 1 consid. 1.2 et les réf.).</w:t>
      </w:r>
    </w:p>
    <w:p>
      <w:r>
        <w:rPr>
          <w:b/>
        </w:rPr>
        <w:t>E. 3.2</w:t>
      </w:r>
    </w:p>
    <w:p>
      <w:r>
        <w:t>La procédure dans le domaine des assurances sociales fait prévaloir la maxime inquisitoriale (art. 43 LPGA). Ainsi, l'autorité prend d'office les mesures d'instruction nécessaires et recueille les renseignements dont elle a besoin, définit les faits déterminants et les preuves nécessaires dont elle ordonne l'apport et qu'elle apprécie d'office sans être liée par les conclusions des parties (ATF 139 V 349; ATF 136 V 376 consis. 4.1; ATF 132 V 105 consid. 5.2.8; Frésard-Fellay/Kahil-Wolff/Perrenoud, Droit suisse de la sécurité sociale II, 2015 p. 499); elle ne tient pour existants que les faits qui sont prouvés, cas échéant au degré de la vraisemblance prépondérante (ATF 139 V 176 consid. 5.2), enfin elle applique le droit d'office. Les parties ont le devoir de collaborer à l'instruction (art. 13 PA, 43 LPGA). 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qui ont modifié cette situation, doivent normalement faire l'objet d'une nouvelle décision administrative (ATF 117 V 293 consid. 4, ATF 116 V 245 consid. 1a).</w:t>
      </w:r>
    </w:p>
    <w:p>
      <w:r>
        <w:rPr>
          <w:b/>
        </w:rPr>
        <w:t>E. 4</w:t>
      </w:r>
    </w:p>
    <w:p>
      <w:r>
        <w:t>L'objet de la contestation est, selon les termes du recours, le refus du droit à des mesures professionnelles (et ainsi implicitement la non reconnaissance d'un taux d'invalidité minimal) au motif d'une reprise de travail à 100% et que l'assuré n'avait selon l'autorité inférieure pas présenté et ne présentait pas d'invalidité au sens de la loi. Le refus de l'octroi d'une rente énoncé dans la décision dont est recours n'est en soi pas contesté.</w:t>
      </w:r>
    </w:p>
    <w:p>
      <w:r>
        <w:rPr>
          <w:b/>
        </w:rPr>
        <w:t>E. 5</w:t>
      </w:r>
    </w:p>
    <w:p>
      <w:r>
        <w:t>Selon les normes applicables, tout requérant, pour avoir droit à une rente, voire seulement à des mesure d'ordre professionnel,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883/2004). Le recourant a versé des cotisations à l'AVS/AI pendant plus de 3 ans et remplit donc la condition de la durée minimale de cotisations eu égard au moment de l'ouverture éventuelle du droit à la rente. Il reste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 au moins (let. c).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6.3</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2.2), la restriction prévue à l'art. 29 al. 4 LAI n'est plus applicable lorsqu'un assuré est un ressortissant suisse ou de l'UE et y réside (ATF 130 V 253 consid. 2.3; art. 4 du règlement 883/04).</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7.1</w:t>
      </w:r>
    </w:p>
    <w:p>
      <w:r>
        <w:t>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Conseil fédéral 22 juin 2005 concernant la modification de la loi fédérale sur l'assurance-invalidité [5e révision de l'AI], FF 2005 4215, 4223 ch. 1.1.1.2).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139 V 399 consid. 5.1; ATF 138 I 205 consid. 3.1 p. 208 et la référence).</w:t>
      </w:r>
    </w:p>
    <w:p>
      <w:r>
        <w:rPr>
          <w:b/>
        </w:rPr>
        <w:t>E. 7.2</w:t>
      </w:r>
    </w:p>
    <w:p>
      <w:r>
        <w:t>Selon l'art. 8 al. 1 LAI,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Selon l'al. 3 let. b de cette disposition, les mesures d'ordre professionnel (orientation professionnelle, formation professionnelle initiale, reclassement professionnel, service de placement) sont au nombre des mesures de réadaptation.</w:t>
      </w:r>
    </w:p>
    <w:p>
      <w:r>
        <w:rPr>
          <w:b/>
        </w:rPr>
        <w:t>E. 7.3</w:t>
      </w:r>
    </w:p>
    <w:p>
      <w:r>
        <w:t>Le droit à une mesure de réadaptation déterminée de l'assurance 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(Michel Valterio, Droit de l'assurance-vieillesse et survivants [AVS] et de l'assurance-invalidité [AI], 2011, n°1327).</w:t>
      </w:r>
    </w:p>
    <w:p>
      <w:r>
        <w:rPr>
          <w:b/>
        </w:rPr>
        <w:t>E. 7.4</w:t>
      </w:r>
    </w:p>
    <w:p>
      <w:r>
        <w:t>Partant, si l'aptitude subjective de réadaptation de l'assuré fait défaut, l'administration peut refuser de mettre en oeuvre une mesure ou y mettre fin (arrêt du TF I 370/98 du 26 août 1999, publié dans Pratique VSI 3/2002 p. 111). En règle générale, l'assuré n'a droit qu'aux mesures nécessaires, propres à atteindre le but de réadaptation visé, mais non pas aux mesures qui seraient les meilleures dans son cas (ATF 124 V 108 consid. 2a et les références citées; Pratique VSI 1/2000 p. 25, consid. 2a et 2b; RCC 1992 p. 388, RCC 1988 p. 266; Valterio, op. cit., n°1339).</w:t>
      </w:r>
    </w:p>
    <w:p>
      <w:r>
        <w:rPr>
          <w:b/>
        </w:rPr>
        <w:t>E. 7.5</w:t>
      </w:r>
    </w:p>
    <w:p>
      <w:r>
        <w:t>L'assuré a droit au reclassement dans une nouvelle profession si son invalidité rend nécessaire le reclassement et si sa capacité de gain peut ainsi, selon toute vraisemblance, être maintenue ou améliorée (art. 17 LAI). Tel n'est en principe pas le cas si l'assuré ne subit pas, même en l'absence d'une telle mesure de reclassement, une diminution de sa capacité de gain de l'ordre de 20% (ATF 139 V 399 consid. 5.3; ATF 130 V 488 consid. 4.2; ATF 124 V 108 consid. 2b; Ulrich Meyer / Marco Reichmuth, Bundesgesetz über die Invalidenversicherung [IVG], 3e éd. 2014, art. 17 n° 3 s.). La perte de gain est calculée selon les principes de l'art. 16 LPGA (comparaison de revenus avant et après invalidité, cf. infra consid. 8.2) appliqués lors de la détermination du degré d'invalidité dans le cas du droit à une rente (arrêt du TF 8C_370/2011 du 16 août 2011 consid. 2). Le reclassement se définit comme l'ensemble des mesures de réadaptation de nature professionnelle qui sont nécessaires et suffisantes pour procurer à l'assuré une possibilité de gain à peu près équivalente à celle que lui offrait son ancienne activité. La notion d'équivalence approximative ne se rapporte pas en premier lieu au niveau de formation en tant que tel, mais aux perspectives de gain qu'on peut attendre d'un reclassement (ATF 122 V 77 consid. 3b/bb; Meyer/Reichmuth, op. cit., art. 17 n° 14 s.). Celui-ci n'est pas nécessité par l'invalidité notamment lorsque l'assuré est en mesure de prendre un emploi correspondant à ses aptitudes, sans formation supplémentaire (arrêt du TF I 279/04 du 8 août 2005 consid. 3 et 4; Valterio, op. cit., n° 1695). En principe, les mesures de réadaptation ne sont appliquées qu'en Suisse (art. 9 al. 1, 1ère phrase LAI). L'assuré qui n'a droit ni au reclassement ni à une rente pourra, le cas échéant, demander une aide au placement en application de l'art. 18 LAI (arrêt du TF I 321/03 du 29 octobre 2003 consid. 4.3; Valterio, op. cit., n° 1680). Selon l'art. 18 al. 1 LAI l'assuré présentant une incapacité de travail (art. 6 LPGA) et susceptible d'être réadapté a droit à un soutien actif dans la recherche d'un emploi approprié, respectivement à un conseil suivi afin de conserver un emploi.</w:t>
      </w:r>
    </w:p>
    <w:p>
      <w:r>
        <w:rPr>
          <w:b/>
        </w:rPr>
        <w:t>E. 8.1</w:t>
      </w:r>
    </w:p>
    <w:p>
      <w:r>
        <w:t>Le recourant a travaillé en dernier lieu en Suisse et a été en situation d'emploi (indépendamment d'une activité effective) au moins jusqu'à la décision dont est recours (date limite de la cognition de ce Tribunal; cf. le consid. 3.1). Il a annoncé ultérieurement à celle-ci par acte du 7 septembre 2015 que son employeur avait décidé de mettre un terme à son contrat de travail ne pouvant plus lui assurer un travail adapté. Ses troubles de santé à l'origine de la demande de prestations AI ont débuté en août 2012 avec diverses incapacités de travail temporaires. A compter du 13 avril 2013 il fut en incapacité de travail durable à 100% jusqu'au 23 octobre 2013 selon le rapport SMR sur dossier du Dr Jambon du 3 février 2015. Par la suite l'intéressé connut des incapacités de travail partielles, complètes et temporaires dans son activité habituelle bien que selon ses médecins traitant une capacité de travail complète existait dans une activité adaptée (appréciations discutées infra).</w:t>
      </w:r>
    </w:p>
    <w:p>
      <w:r>
        <w:rPr>
          <w:b/>
        </w:rPr>
        <w:t>E. 8.2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pour les assurés ayant exercé précédemment une activité lucrative à plein temps,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 cf. Valterio, op. cit., n° 2060 ss).</w:t>
      </w:r>
    </w:p>
    <w:p>
      <w:r>
        <w:rPr>
          <w:b/>
        </w:rPr>
        <w:t>E. 8.3</w:t>
      </w:r>
    </w:p>
    <w:p>
      <w:r>
        <w:t>Dans le cadre de la méthode générale et également dans le cadre d'autres méthodes, notamment pour les personnes sans activité lucrative ou ayant exercé une activité lucrative à temps partiel, la loi ne connaît pas d'autres systèmes d'évaluation, telle notamment l'appréciation médico-théorique sur la base de tabelles d'invalidité ou l'appréciation abstraite sur les seules bases médicales sans tenir compte de l'incidence économique de l'atteinte à la santé (Valterio, op. cit., n° 2042). La méthode d'évaluation de l'invalidité valable à un moment donné ne saurait préjuger le futur statut juridique de l'assuré. Le critère de l'incapacité de gain (art. 16 LPGA) peut succéder à celui de l'empêchement d'accomplir ses travaux habituels (art. 5 al. 1 LAI) ou inversement sans que l'état de santé ait subi des modifications (Valterio, op. cit. n° 2051 et les références). Selon une jurisprudence constante, les données fournies par les médecins constituent un élément utile pour apprécier les conséquences de l'atteinte à la santé et pour déterminer quels travaux on peut encore raisonnablement exiger de l'assuré (ATF 125 V 258 consid. 4; ATF 115 V 133 consid. 2; ATF 114 V 310 consid. 3c; ATF 105 V 156 consid. 1).</w:t>
      </w:r>
    </w:p>
    <w:p>
      <w:r>
        <w:rPr>
          <w:b/>
        </w:rPr>
        <w:t>E. 9.1</w:t>
      </w:r>
    </w:p>
    <w:p>
      <w:r>
        <w:t>Selon l'art. 43 al. 1, 1ère phrase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des SMR doivent disposer des qualifications personnelles et spécialisées à leurs tâches.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Fondé sur les données de son service médical l'office AI sera en mesure de déterminer les prestations à allouer, lesquelles doivent reposer sur des rapports médicaux satisfaisant aux exigences d'une qualité probante (arrêt du TF 9C_1063/2009 du 22 janvier 2010 consid. 4.2.3). Pour effectuer leurs tâches les SMR peuvent se déterminer sur la base de l'ensemble du dossier collecté (art. 49 al. 1 et 3 RAI), examiner les assurés au sein du SMR (art. 49 al. 2 RAI) ou confier à un médecin expert indépendant la charge d'une expertise (art. 44 LPGA).</w:t>
      </w:r>
    </w:p>
    <w:p>
      <w:r>
        <w:rPr>
          <w:b/>
        </w:rPr>
        <w:t>E. 9.2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Au demeurant, l'élément déterminant pour la valeur probante n'est ni l'origine du moyen de preuve ni sa désignation comme rapport ou comme expertise, mais bel et bien son contenu (ATF 125 V 351 consid. 3). En règle générale, l'administration ne pourra pas se départir d'un rapport médical lorsqu'il est établi par des spécialistes reconnus sur la base d'observations approfondies et d'investigations complètes et en pleine connaissance du dossier et lorsqu'aucun indice concret ne permet de douter de son bien-fondé (voir spéc. Valterio, op. cit., n° 2891 ss). La valeur probante d'une expertise est liée à la condition que l'expert dispose de la formation nécessaire, de compétences professionnelles dans le domaine d'investigation (cf. Valterio, op. cit. n° 2912; arrêts du TF 9C_270/2008 du 12 août 2008 consid. 3.3, 9C_53/2009 du 29 mai 2009 consid. 4.2 et les références).</w:t>
      </w:r>
    </w:p>
    <w:p>
      <w:r>
        <w:rPr>
          <w:b/>
        </w:rPr>
        <w:t>E. 9.3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ATF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TF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Les rapports médicaux établis sur la personne par les SMR selon l'art. 49 al. 2 RAI peuvent avoir valeur d'expertise médicale s'ils répondent aux exigences matérielles et formelles requises par la jurisprudence et ont même valeur probante que d'autres expertises (arrêts du TF 9C_323/2009 du 14 juillet 2009 consid. 4.3.2 et les références, 9C_204/2009 du 6 juillet 2009 consid. 3.3.2 et les références [non complètement publié à l'ATF 135 V 254], 9C-600/2010 du 21 janvier 2011 consid. 2).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TF 8C_588/2015 du 17 décembre 2015 consid. 2;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TF U 365/06 du 26 janvier 2007 consid. 4.1).</w:t>
      </w:r>
    </w:p>
    <w:p>
      <w:r>
        <w:rPr>
          <w:b/>
        </w:rPr>
        <w:t>E. 9.4</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arrêts du TF 9C_165/2015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8C_653/2009 du 28 octobre 2009 consid. 5.2; 8C_239/2008 du 17 décembre 2009 consid. 7.2; cf. également arrêt du TF 9C_462/2014 du 16 septembre 2015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 du TF 9C_25/2015 du 1er mai 2015 consid. 4.1; Valterio, op. cit. n° 2920).</w:t>
      </w:r>
    </w:p>
    <w:p>
      <w:r>
        <w:rPr>
          <w:b/>
        </w:rPr>
        <w:t>E. 9.5</w:t>
      </w:r>
    </w:p>
    <w:p>
      <w:r>
        <w:t>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10.1</w:t>
      </w:r>
    </w:p>
    <w:p>
      <w:r>
        <w:t>L'intéressé fut en situation d'incapacité de travail durable de plusieurs mois à 100% à compter du 13 avril 2013 en raison de deux névromes de Morton au pied gauche. Ceux-ci lui occasionnèrent des difficultés et douleurs à la marche et à la station debout invalidant dans son activité habituelle de chef de rang dans un restaurant. Auparavant il fut en incapacité de travail temporaire depuis août 2012 en raison de névromes de Morton aux deux pieds; le pied droit atteint depuis juin 2012 fut traité avec succès. Le 13 juin 2013 il subit, en intervention ambulatoire bénigne, une exérèse du nerf interdigital des espaces intermétatarsiens 2 et 3 au pied gauche sans incident. Il appert de la documentation au dossier un statut douloureux ayant cependant persisté et ayant motivé la demande de prestations AI datée du 13 septembre 2013 à l'invitation de l'OAI-GE suite à des mesures d'intervention précoce de l'AI sollicitées par l'employeur de l'assuré en date du 24 juin 2013. Dans un rapport du 30 septembre 2013 de la Dresse D._______, médecin traitant remplaçante, il fut relevé la persistance de douleurs à l'appui, un pronostic incertain, la nécessité d'une semelle orthopédique. Ce médecin attesta d'une incapacité de travail de 100% du 14 mai au 6 octobre 2013 (voir la pce 2 p. 5 qui atteste l'incapacité de travail déjà depuis le 8 mai 2013), de restrictions à la station debout de plus d'une heure et à la marche. Elle indiqua cependant que l'intéressé avait la possibilité d'exercer une activité en position assise à 100%, une activité en position debout étant à revoir selon l'évolution du status. Le Dr C._______ qui avait opéré l'assuré établit par la suite un arrêt de travail à 50% du 23 octobre au 24 novembre 2013. En fait, compte tenu que l'intéressé avait un solde de vacances à prendre durant l'année 2013, il ne travailla effectivement quasiment pas depuis sa reprise de travail programmée à 50% le 23 octobre 2013 jusqu'à la fin de l'année 2013 et reprit plus ou moins effectivement son activité habituelle au taux de 50% à compter du début de l'année 2014 jusqu'à fin juin 2014. Début juillet une reprise à 100% se conclut par un échec en raison de douleurs ayant nécessité une reprise du travail à 50% dès le 3 juillet 2014. Une nouvelle reprise du travail à 100% fut programmée pour début novembre 2014 et annoncée à l'OAI-GE. Dans un rapport SMR succinct du 3 février 2015, le Dr E._______, médecin sans spécialisation indiquée, posa le diagnostic connu de névromes de Morton bilatéraux depuis le 16 avril 2013. Il indiqua (sans motivation ou précision) une capacité de travail dès le 23 octobre 2013 exigible à 100% dans l'activité habituelle et exigible à 100% dans une activité adaptée, une limitation fonctionnelle à la marche prolongée. Il précisa une incapacité de travail médicalement justifiée et une capacité de travail pleine dans une activité adaptée. Sur cette base - il sied de relever que l'énoncé de la capacité de travail de 100% dans l'activité habituelle était ambigu dans ce rapport mettant l'accent sur une capacité de travail de 100% dans une activité adaptée - l'OAI-GE adressa à l'assuré daté du 5 février 2015 un projet de décision lui annonçant le rejet de toutes prestations en raison notamment d'une incapacité de travail n'ayant pas duré une année et de la reprise d'une activité à 100% au 1er novembre 2014. Selon la contestation de l'intéressé au projet de décision (cf. pce 60), la reprise de travail à 100% en novembre 2014 consista (cf. pce 62 p. 1) en la récupération de vacances et de congé, seuls 5 jours ayant été ouvrés à plein temps en décembre 2014. L'intéressé indiqua dans sa contestation avoir repris effectivement son travail à plein temps en février 2015 et avoir dû être mis à nouveau en arrêt à 50% pour un mois une semaine après en raison des douleurs revenues. En date du 10 juillet 2015, l'OAI-GE, alors que l'office était en connaissance de l'effectivité de la reprise de travail à 50% de l'assuré et non à 100%, sur la base d'un nouveau rapport médical du Dr E._______ du 22 mai 2015 ayant qualifié l'atteinte au pied de l'assuré de bénin avec renvoi à ses précédentes conclusions, rendit sa décision de rejet de rente et de mesures de réinsertion professionnelle pour les motifs allégués d'une incapacité de travail n'ayant pas duré une année au moins et d'une reprise de travail à 100% au 3 novembre 2014.</w:t>
      </w:r>
    </w:p>
    <w:p>
      <w:r>
        <w:rPr>
          <w:b/>
        </w:rPr>
        <w:t>E. 10.2</w:t>
      </w:r>
    </w:p>
    <w:p>
      <w:r>
        <w:t>Dans son rapport du 3 février 2015, le Dr E._______ du SMR indiqua, sur la base du dossier (art. 49 al. 1 et 3 RAI), le diagnostic connu et non contesté de névromes de Morton bilatéraux depuis le 23 avril 2013 et, sans motivation ni précision, une appréciation de la capacité de travail de l'intéressé dès le 23 octobre 2013 exigible à 100% dans l'activité habituelle et à 100% dans une activité adaptée. Il indiqua une limitation fonctionnelle à la marche prolongée, précisant en réponse aux questions posées par l'OAI-GE une "IT [incapacité de travail] médicalement justifiée" et une "CT [capacité de travail] pleine dans activité adaptée". S'il est manifeste que le diagnostic posé est incontesté, en tout état de cause dans ce rapport l'appréciation de la capacité de travail de l'intéressé est ambiguë. Soit la capacité de travail était de 100% dans l'activité habituelle à compter du 23 octobre 2013 et l'OAIE-GE était fondé à établir son projet de décision comme il l'a fait, soit la capacité de travail de l'intéressé n'était que de 100% dans une activité adaptée et l'OAIE-GE se devait d'examiner l'incidence économique de cette capacité résiduelle de travail dans une activité adaptée à 100% vu la durée de l'incapacité supérieure à une année au moment de l'établissement du projet de décision. Outre l'ambiguïté et imprécision du rapport médical du Dr E._______ du 3 février 2015, il faut relever que de jurisprudence constante un rapport SMR sur dossier ne peut opter pour une appréciation du status médical et de la capacité de travail d'un assuré en cas d'indications et appréciations médicales contradictoires sans en établir dument les motifs. Or au dossier figure un arrêt de travail à 50% de l'assuré du 21 octobre au 24 novembre 2013 établi par le Dr C._______, chirurgie du pied et de la cheville, le médecin-même qui avait opéré l'assuré le 13 juin 2013, et auparavant la Dresse D._______, avait dans un rapport du 30 septembre 2013 indiqué la persistance de douleurs à l'appui, un pronostic incertain, la nécessité d'une semelle orthopédique. Elle avait indiqué une incapacité de travail de 100% du 14 mai au 6 octobre 2013. Il appert donc que l'appréciation du Dr E._______ du SMR a été prise sans connaissance et discussion du status médical de l'assuré, sans un exposé de sa motivation pour retenir une capacité de travail de 100% dans l'activité habituelle de l'assuré en totale contradiction avec l'appréciation du Dr C._______, spécialiste du pied, ayant établi un arrêt de travail à 50% jusqu'au 24 novembre 2013. Son appréciation de la capacité de travail de 100% dans l'activité habituelle, en tant que médecin SMR s'étant prononcé sur dossier, ne revêtait aucune valeur probante vu les contradictions au dossier, ce que l'OAI-GE aurait dû constater avec un renvoi du dossier au SMR pour actualisation du dossier médical et pour prise de position circonstanciée dûment établie vu ce rapport médical sur dossier non motivé en totale contradiction avec le dossier médical. Le deuxième rapport médical du Dr E._______ du 22 mai 2015 prend acte de la persistance d'une capacité de travail de 50% attestée par le médecin traitant de l'assuré dans son activité habituelle, mais indique la possibilité d'une capacité de travail de 100% dans une activité "strictement" adaptée et qu'il y avait donc lieu de s'en tenir à ses conclusions précédentes "compte tenu de la bénignité de l'atteinte". Dans ce dernier rapport le Dr E._______ prend acte de la nécessité pour l'intéressé d'exercer nouvellement sa capacité de travail à 100% dans une activité "strictement" adaptée, modifiant ainsi son appréciation du 3 février 2015 qui avait indiqué la possibilité d'une reprise à 100% dans l'activité habituelle, tout en indiquant - contradictoirement - qu'il fallait s'en tenir à son appréciation du 3 février 2015. Ce faisant le Dr E._______ a établi une prise de position SMR sur dossier ne pouvant avoir de valeur probante pour l'OAI-GE propre à fonder sur cette base le rejet d'une rente d'invalidité ou le rejet de l'octroi de mesures de réinsertion dans la mesure d'un éventuel taux d'invalidité de 20% et plus suite à une comparaison des revenus avant et après invalidité (cf. supra consid. 7). Par ailleurs, en indiquant dans ce deuxième rapport que l'atteinte était "bénigne" le Dr E._______ a posé un diagnostic médical actualisé sur dossier de fait sans fondement médical au dossier vu que le médecin traitant n'avait fait état que de la capacité de travail de l'intéressé de son appréciation sans motivation de celle-ci et sans indiquer les résultats actuels d'un examen clinique. Il eut été du mandat du Dr E._______, en tant que médecin SMR appelé à se prononcer une nouvelle fois sur dossier, au vu de la capacité de travail dans l'activité habituelle de l'assuré maintenue à 50%, de requérir des informations actualisées du Dr C._______ respectivement auprès des autres médecins traitant.</w:t>
      </w:r>
    </w:p>
    <w:p>
      <w:r>
        <w:rPr>
          <w:b/>
        </w:rPr>
        <w:t>E. 10.3</w:t>
      </w:r>
    </w:p>
    <w:p>
      <w:r>
        <w:t>Il appert de ce qui précède que sur la base de rapports SMR non probants l'OAIE, sur requête de l'OAI-GE, a rendu une décision de rejet de toutes prestations d'invalidité sans que le dossier de la demande ait été instruit correctement sur le plan médical et ensuite sur le plan de l'évaluation de l'invalidité dans la mesure d'une capacité de travail nouvellement dans une activité strictement adaptée. Il sied de rappeler que l'évaluation de l'invalidité selon une des méthodes indiquée à l'art. 28a LAI est impérative dès le moment où l'intéressé ne peut plus exercer durablement son activité antérieure à hauteur de 60%. Une évaluation sur la base des seules données médicales comme l'a fait l'OAI-GE, et de plus sur une base médicale inappropriée, n'est pas admissible car cela reviendrait à déterminer l'invalidité de manière abstraite sans tenir compte de l'incidence économique de l'atteinte à la santé (arrêt du TF I 418/03 du 23 septembre 2003 consid. 5 et les références; Valterio, op. cit., n° 2042). Les critères propres à chaque méthode d'évaluation de l'invalidité doivent être appliqués, in casu la méthode générale par une comparaison de revenus sans et avec invalidité, même si par anticipation de cette évaluation il peut paraître qu'il pourrait en résulter un taux d'invalidité non déterminant pour l'AI (cf. ATF 97 V 58 consid. 1). Manifestement mal fondée sur la base de rapports médicaux sans valeur probante et à la suite d'une instruction non terminée par une évaluation de l'invalidité économique, la décision doit être annulée.</w:t>
      </w:r>
    </w:p>
    <w:p>
      <w:r>
        <w:rPr>
          <w:b/>
        </w:rPr>
        <w:t>E. 11</w:t>
      </w:r>
    </w:p>
    <w:p>
      <w:r>
        <w:t>Au vu de ce qui précède il sied ainsi d'admettre le recours et de retourner le dossier à l'autorité inférieure (art. 61 PA; ATF 137 V 210 consid. 4.4.1.4) afin qu'elle complète l'instruction tant médicale qu'économique du dossier. Le renvoi est indiqué en l'espèce bien qu'il doive rester exceptionnel compte tenu de l'exigence de la célérité de la procédure (cf. art. 29 de la Constitution fédérale (Cst., RS 101; arrêt du TF 8C_633/2014 du 11 décembre 2014 consid. 2.2).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arrêt du TF 8C_633/2014 du 11 décembre 2014 consid. 3.2 et 3.3).</w:t>
      </w:r>
    </w:p>
    <w:p>
      <w:r>
        <w:rPr>
          <w:b/>
        </w:rPr>
        <w:t>E. 12.1</w:t>
      </w:r>
    </w:p>
    <w:p>
      <w:r>
        <w:t>Selon la jurisprudence la partie qui a formé recours contre une décision en matière de prestations sociales est réputée avoir obtenu gain de cause lorsque la cause est renvoyée à l'administration pour instruction complémentaire et nouvelle décision (ATF 132 V 215 consid. 5.6).</w:t>
      </w:r>
    </w:p>
    <w:p>
      <w:r>
        <w:rPr>
          <w:b/>
        </w:rPr>
        <w:t>E. 12.2</w:t>
      </w:r>
    </w:p>
    <w:p>
      <w:r>
        <w:t>Il n'est pas perçu de frais de procédure (art. 63 al. 2 PA). L'avance de frais de 400.- francs fournie par le recourant lui est restituée.</w:t>
      </w:r>
    </w:p>
    <w:p>
      <w:r>
        <w:rPr>
          <w:b/>
        </w:rPr>
        <w:t>E. 12.3</w:t>
      </w:r>
    </w:p>
    <w:p>
      <w:r>
        <w:t>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le recourant n'ayant pas été représenté par un avocat ou un mandataire professionnel, il n'est pas alloué de dépens.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