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C-4902/2012 vom 11. Juni 2013</w:t>
      </w:r>
    </w:p>
    <w:p>
      <w:r>
        <w:t>Bundesverwaltungsgericht, 2013-06-11, FR</w:t>
      </w:r>
    </w:p>
    <w:p>
      <w:r>
        <w:rPr>
          <w:b/>
        </w:rPr>
        <w:t xml:space="preserve">Quelle: </w:t>
      </w:r>
      <w:r>
        <w:t>https://mcp.opencaselaw.ch/entscheid/bvger_C-4902_2012</w:t>
      </w:r>
    </w:p>
    <w:p>
      <w:r>
        <w:t>FR: TAF C-4902/2012 du 11 juin 2013</w:t>
      </w:r>
    </w:p>
    <w:p>
      <w:r>
        <w:t>IT: TAF C-4902/2012 del 11 giugno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Concernant la qualité pour recourir des intéressés (art. 48 al. 1 PA), il ressort de l'opposition du 26 juillet 2012, envoyée et signée par A._______ , que celui-ci aurait agi en vertu "d'une procuration de Mme B._______". Or, dite procuration n'apparaît pas dans le dossier de l'ODM. La question se pose donc de savoir lequel des deux prénommés a pris part à la procédure devant l'autorité inférieure au sens de l'art. 48 al. 1 let. a PA. Cette question peut demeurer indécise dans la mesure où l'un d'eux en tout cas remplit cette condition, tous deux sont en outre atteints par la décision attaquée et ont un intérêt digne de protection à son annulation (art. 48 al. 1 let. b et c PA) et, pour le surplus, le recours a été déposé dans la forme et les délais prescrits par la loi (art. 50 et 52 PA). Il y a dès lors lieu d'entrer en matière sur le recours.</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2012/21 consid. 5.1, 2011/43 consid. 6.1 et 2011/1 consid. 2).</w:t>
      </w:r>
    </w:p>
    <w:p>
      <w:r>
        <w:rPr>
          <w:b/>
        </w:rPr>
        <w:t>E. 3</w:t>
      </w:r>
    </w:p>
    <w:p>
      <w:r>
        <w:t>La politique des autorités suisses en matière de visa joue un rôle très important dans la prévention de l'immigration clandestine (voir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(ATF 135 I 143 consid. 2.2;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spéc. p. 3531 ; voir également ATF 135 II 1 consid. 1.1 et ATAF 2009/27 consid. 3, ainsi que la jurispr. cit.).</w:t>
      </w:r>
    </w:p>
    <w:p>
      <w:r>
        <w:rPr>
          <w:b/>
        </w:rPr>
        <w:t>E. 4</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w:t>
      </w:r>
    </w:p>
    <w:p>
      <w:r>
        <w:rPr>
          <w:b/>
        </w:rPr>
        <w:t>E. 5</w:t>
      </w:r>
    </w:p>
    <w:p>
      <w:r>
        <w:t>S'agissant des conditions d'entrée en Suisse pour un séjour n'excédant pas trois mois, l'art. 2 al. 1 OEV renvoie au code frontières Schengen,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25 par. 1 let. a du code des visas et art. 5 par. 4 let. c du code frontières Schengen).</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du Cambodge, B._______ est soumise à l'obligation du visa.</w:t>
      </w:r>
    </w:p>
    <w:p>
      <w:r>
        <w:rPr>
          <w:b/>
        </w:rPr>
        <w:t>E. 7.1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134 I 49 consid. 3.1 p. 53 et la jurisprudence citée ; sur la notion d'arbitraire : ATF 134 I 263 consid. 3.1 pp. 265s. et la jurisprudence citée).</w:t>
      </w:r>
    </w:p>
    <w:p>
      <w:r>
        <w:rPr>
          <w:b/>
        </w:rPr>
        <w:t>E. 7.2</w:t>
      </w:r>
    </w:p>
    <w:p>
      <w:r>
        <w:t>Le Fonds monétaire international estime la croissance économique du Cambodge à 6,5%, en 2012, et à environ 7% pour les cinq prochaines années. Malgré cette vigueur, le pays reste très exposé aux chocs extérieurs du fait d'un manque de diversification économique (voir le site internet du Ministère français des affaires étrangères : www.diplomatie.gouv.fr/fr/ &gt; Dossiers pays &gt; Cambodge &gt; Présentation du Cambodge, mis à jour le 9 avril 2013, consulté en juin 2013). Le produit intérieur brut par habitant, en 2012, s'élevait à un peu plus de USD 900 pour le Cambodge contre environ USD 79'000 pour la Suisse (voir le site internet du Fonds monétaire international : www.imf.org &gt; Data and Statistics &gt; World Economic Outlook Databases [WEO] &gt; World Economic Outlook Databases April 2013 &gt; By Countries [country-level data] &gt; All countries, mis à jour en avril 2013, consulté en juin 2013). Pour l'année 2012, l'indice de développement humain (IDH), qui prend en compte la santé, l'éducation et le revenu des personnes, classe le Cambodge au 138ème rang, sur 186 pays, et la Suisse en 9ème position, pour la même année (voir respectivement le site internet du Human Development Reports of United Nations Developement Programme [HDR UNDP] : www.hdr.undp.org &gt; Pays &gt; Cambodge, consulté en juin 2013 ; www.hdr.undp.org &gt; Pays &gt; Suisse, consulté en juin 2013). Ces conditions de vie défavorables peuvent s'avérer décisives lorsqu'une personne prend la décision de quitter sa patrie, en ce sens qu'elles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7.3</w:t>
      </w:r>
    </w:p>
    <w:p>
      <w:r>
        <w:t>S'agissant de la situation personnelle de B._______, elle ne permet pas non plus d'émettre un pronostic favorable quant à sa sortie ponctuelle de Suisse à l'échéance du visa. En effet, la prénommée, qui est célibataire, sans charge de famille et âgée de trente-six ans, serait parfaitement à même de se créer une nouvelle existence hors du Cambodge sans que cela n'entraîne pour elle de difficultés majeures sur le plan personnel. S'agissant de sa situation professionnelle et financière, la recourante est coiffeuse. Elle n'a pas fourni d'informations concernant son statut (employée ou indépendante), ni sur les revenus tirés de cette activité. Elle a uniquement produit un document bancaire de (...) Bank attestant d'une fortune, au 20 novembre 2012, de USD 3'500.-. Ces économies sont certes importantes au Cambodge, mais ne sauraient suffire à garantir la sortie de Suisse de l'intéressée au terme du visa sollicité.</w:t>
      </w:r>
    </w:p>
    <w:p>
      <w:r>
        <w:rPr>
          <w:b/>
        </w:rPr>
        <w:t>E. 7.4</w:t>
      </w:r>
    </w:p>
    <w:p>
      <w:r>
        <w:t>Ainsi, compte tenu de sa situation personnelle et financière ainsi que des conditions socio-économiques du Cambodge, il ne saurait être exclu qu'une fois en Suisse, B._______ ne soit tentée de s'y installer durablement, dans l'espoir d'y préparer un avenir plus prometteur que dans sa patrie.</w:t>
      </w:r>
    </w:p>
    <w:p>
      <w:r>
        <w:rPr>
          <w:b/>
        </w:rPr>
        <w:t>E. 8</w:t>
      </w:r>
    </w:p>
    <w:p>
      <w:r>
        <w:t>Cela étant, le désir exprimé par B._______, au demeurant parfaitement compréhensible, de venir en Suisse rendre visite à son ami afin de découvrir son pays, ne constitue pas à lui seul un motif justifiant l'octroi d'un visa, à propos duquel elle ne saurait au demeurant se prévaloir d'aucun droit (consid. 3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Par ailleurs, les recourants n'ont pas invoqué de raisons susceptibles de justifier la délivrance d'un visa à validité territoriale limitée (cf. consid. 5 supra). Cela dit, un refus d'autorisation d'entrée en Suisse prononcé par les autorités helvétiques n'a pas, en l'occurrence, pour conséquence d'empêcher l'invitée et son hôte en Suisse de se voir, les intéressés pouvant tout aussi bien se rencontrer hors de Suisse, notamment au Cambodge, pays que le recourant connaît, comme il l'affirme notamment dans son recours.</w:t>
      </w:r>
    </w:p>
    <w:p>
      <w:r>
        <w:rPr>
          <w:b/>
        </w:rPr>
        <w:t>E. 11</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12</w:t>
      </w:r>
    </w:p>
    <w:p>
      <w:r>
        <w:t>Compte tenu des considérants exposés ci-dessus, il appert que, par sa décision du 6 septembre 2012, l'ODM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d'un montant de Fr. 800.-,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