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C-4898/2012 vom 1. Mai 2014</w:t>
      </w:r>
    </w:p>
    <w:p>
      <w:r>
        <w:t>Bundesverwaltungsgericht, 2014-05-01, DE</w:t>
      </w:r>
    </w:p>
    <w:p>
      <w:r>
        <w:rPr>
          <w:b/>
        </w:rPr>
        <w:t xml:space="preserve">Quelle: </w:t>
      </w:r>
      <w:r>
        <w:t>https://mcp.opencaselaw.ch/entscheid/bvger_C-4898_2012</w:t>
      </w:r>
    </w:p>
    <w:p>
      <w:r>
        <w:t>FR: TAF C-4898/2012 du 1 mai 2014</w:t>
      </w:r>
    </w:p>
    <w:p>
      <w:r>
        <w:t>IT: TAF C-4898/2012 del 1 maggio 2014</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BVGE 2012/21 E. 5.1 je mit Hinweisen).</w:t>
      </w:r>
    </w:p>
    <w:p>
      <w:r>
        <w:rPr>
          <w:b/>
        </w:rPr>
        <w:t>E. 3.1</w:t>
      </w:r>
    </w:p>
    <w:p>
      <w:r>
        <w:t>Der Beschwerdeführer rügt in formeller Hinsicht eine Verletzung des Anspruchs auf rechtliches Gehör (vgl. Art. 29 Abs. 2 BV sowie Art. 29 ff. VwVG). Die Vorinstanz habe ihre Prüfungspflicht nicht wahrgenommen, wesentliche Tatsachen nicht berücksichtigt und die Verfügung nur mangelhaft begründet.</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Jörg Paul Müller/Mar­kus 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Bernhard Waldmann/Jürg Bickel, in: Praxiskommentar VwVG, 2009, Art. 29 N 80 ff., Art. 30 N 3 ff. u. Art. 32 N 7 ff.; Alfred Kölz/Isabelle Häner/Martin 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BGE 136 I 229 E. 5.2; BVGE 2012/24 E. 3.2; BVGE 2009/35 E. 6.4.1; Kölz/Häner/Bertschi, a.a.O., N 629 ff.; Lorenz Kneubühler, Die Begründungspflicht, 1998, S. 26 ff. u. S. 178 ff.; René Wiederkehr, Die Begründungspflicht nach Art. 29 Abs. 2 BV und die Heilung bei Verletzung, ZBl 9/2010 S. 484 ff.).</w:t>
      </w:r>
    </w:p>
    <w:p>
      <w:r>
        <w:rPr>
          <w:b/>
        </w:rPr>
        <w:t>E. 3.3</w:t>
      </w:r>
    </w:p>
    <w:p>
      <w:r>
        <w:t>Die angefochtene Verfügung enthält eine angesichts der Tragweite der angeordneten Massnahme sehr knappe Begründung. Das BFM verwies auf die begangenen Straftaten sowie den Widerruf der Niederlassungsbewilligung und führte aus, dass infolge dieser schweren Verstösse und der damit einhergehenden Gefährdung der öffentlichen Sicherheit und Ordnung der Erlass einer Fernhaltemassnahme erforderlich sei. Private Interessen, die das öffentliche Interesse an künftigen kontrollierten Einreisen überwiegen könnten, seien nicht ersichtlich. Damit benennt das BFM zwar kurz die Überlegungen, von denen es sich bei seinem Entscheid leiten liess. Dem Beschwerdeführer musste angesichts der Art und Anzahl der von ihm begangenen Delikte (vgl. Sachverhalt Bst. B) sodann bewusst sein, dass die Vorinstanz von einer schwerwiegenden Gefahr für die öffentliche Ordnung und Sicherheit gemäss Art. 67 Abs. 3 AuG ausging. Auch dass das BFM nur summarisch auf die betroffenen privaten Interessen des Beschwerdeführers einging, ist in casu nicht zu beanstanden, nachdem der Rechtsvertreter des Beschwerdeführers die Frist, sich zur angedrohten Fernhaltemassnahme vorgängig zu äussern, unbenützt hat verstreichen lassen (vgl. Sachverhalt Bst. D) und aus der Begründung geschlossen werden kann, dass eine Interessenabwägung vorgenommen wurde. Zu berücksichtigen ist überdies, dass das Einreiseverbot zu den quantitativ häufigsten Anordnungen der schweizerischen Verwaltungspraxis zählt und das BFM als erstinstanzliche Behörde gestützt auf den Effizienzgrundsatz speditiv zu entscheiden hat. Die Begründungsdichte der erstinstanzlichen Entscheide kann und muss daher nicht derjenigen der höheren Instanzen entsprechen (vgl. Kneubühler, a.a.O., S. 179; kritisch Andreas Jörger/Patrick Sutter, Einreiseverbot nach Art. 67 AuG, in: Sicherheit&amp;Recht 2/2013, S. 81 ff., insb. S. 93). Freilich gilt für das Einreiseverbot eine Regelhöchstdauer von fünf Jahren, die nur unter qualifizierten Voraussetzungen überschritten werden darf, d.h. wenn eine aktuelle und schwerwiegende Gefahr vorliegt (vgl. Art. 67 Abs. 3 AuG; BGE 139 II 121 E. 6.3; BVGE 2013/4 E. 7.2.4; Urteil des BVGer C 4221/2011 vom 24. Januar 2014 E. 5.3). In der angefochtenen Verfügung wird auf Art. 67 Abs. 3 AuG nicht Bezug genommen und nicht dargelegt, weshalb von einem schwerwiegenden Fall resp. einer aktuellen und schwerwiegenden Gefahr für die öffentliche Sicherheit und Ordnung ausgegangen wird. Ein längerfristiges oder unbefristetes Einreiseverbot wiegt jedoch schwer und der Ermessensspielraum der Behörde ist erheblich. Das BFM hat daher im Einzelfall eine Gefährdungsprognose zu erstellen und muss diese nachvollziehbar darlegen, d.h. es muss sorgfältig begründen, weshalb es von einer aktuellen und schwerwiegenden Gefahr ausgeht (i.d.S. Jörger/Sutter, a.a.O., S. 93; vgl. auch Marc Spescha, Neuprüfung des Aufenthaltsrechts nach Straftat, in: dRSK, publiziert am 8. Juli 2013, insb. Ziff. 22). Die Vorinstanz hat dies nicht getan und ist daher ihrer Begründungspflicht nur ungenügend nachgekommen, weshalb sich die diesbezügliche Rüge als begründet erweist (vgl. auch die Urteile des BVGer C 6389/2012 vom 5. September 2013 E. 3.1.2; C 3091/2011 vom 16. August 2013 E. 6.1.5; C 3202/2011 vom 19. April 2013 E. 3.3 sowie C 970/2010 vom 11. März 2013 E. 3.3 mit Hinweisen).</w:t>
      </w:r>
    </w:p>
    <w:p>
      <w:r>
        <w:rPr>
          <w:b/>
        </w:rPr>
        <w:t>E. 3.4</w:t>
      </w:r>
    </w:p>
    <w:p>
      <w:r>
        <w:t>Betreffend die Rüge der Verletzung der Prüfungspflicht (Art. 32 Abs. 1 VwVG) ist festzuhalten, dass das kantonale Migrationsamt dem BFM mit Schreiben vom 18. Mai 2012 das Dossier des Beschwerdeführers zwecks Prüfung von Fernhaltemassnahmen zukommen liess (vgl. BFM act. 5 S. 47), und dass der Beschwerdeführer von der ihm - resp. seinem damaligen Rechtsvertreter - gewährten Möglichkeit, sich zur angedrohten Fernhaltemassnahme vorgängig zu äussern, keinen Gebrauch machte (vgl. Sachverhalt Bst. D). Das BFM durfte daher entsprechend seiner vorgängigen Ankündigung gestützt auf die ihm vorliegenden Akten entscheiden und hat seine Prüfungspflicht nicht verletzt (vgl. auch Urteil des BVGer C-970/2010 E. 3.5).</w:t>
      </w:r>
    </w:p>
    <w:p>
      <w:r>
        <w:rPr>
          <w:b/>
        </w:rPr>
        <w:t>E. 3.5</w:t>
      </w:r>
    </w:p>
    <w:p>
      <w:r>
        <w:t>Eine Verletzung des Anspruchs auf rechtliches Gehör (vorliegend in Form einer Verletzung der Begründungspflicht gemäss Art. 35 VwVG) führt ungeachtet der Erfolgsaussichten der Beschwerde in der Sache selbst grundsätzlich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könnten (vgl. BGE 137 I 195 E. 2.2 und E. 2.3.2 sowie BVGE 2012/24 E. 3.4 je mit Hinweisen).</w:t>
      </w:r>
    </w:p>
    <w:p>
      <w:r>
        <w:rPr>
          <w:b/>
        </w:rPr>
        <w:t>E. 3.6</w:t>
      </w:r>
    </w:p>
    <w:p>
      <w:r>
        <w:t>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rechtsgenügender Weise anfechten konnte. Die Vorinstanz hat die Gründe ihrer Entscheidung anlässlich des Schriftenwechsels zwar ergänzt, zum Kriterium der schwerwiegenden Gefahr gemäss Art. 67 Abs. 3 AuG jedoch auch im Rechtsmittelverfahren nicht ausdrücklich Stellung genommen. Allerdings gilt es zu berücksichtigen, dass das Bundesverwaltungsgericht in der Zwischenverfügung vom 23. Oktober 2012 (E. 4.4) noch davon ausging, die angefochtene Verfügung sei hinreichend begründet. Überdies hat der anwaltlich vertretene Beschwerdeführer zwar in allgemeiner Weise vorgebracht, die Verfügung sei mangelhaft begründet, dabei freilich in keiner Weise auf das Kriterium der schwerwiegenden Gefahr Bezug genommen. Es ist daher nachvollziehbar, dass die Vorinstanz keinen Anlass dazu sah, sich nachträglich noch ausdrücklich zum Kriterium der schwerwiegenden Gefahr zu äussern. Zwecks Vermeidung einer unnötigen Verlängerung des Verfahrens wird daher trotz der festgestellten Verletzung der Begründungspflicht von einer Rückweisung der Angelegenheit abgesehen.</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das Urteil des BVGer C 820/2009 vom 9. März 2011 E. 5 mit Hinweisen).</w:t>
      </w:r>
    </w:p>
    <w:p>
      <w:r>
        <w:rPr>
          <w:b/>
        </w:rPr>
        <w:t>E. 4.3</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5.1</w:t>
      </w:r>
    </w:p>
    <w:p>
      <w:r>
        <w:t>Die Vorinstanz stützte das von ihr auf unbestimmte Dauer ausgesprochene Einreiseverbot allgemein auf Art. 67 AuG und verwies zur Begründung auf die vom Beschwerdeführer begangenen Straftaten, den Widerruf der Niederlassungsbewilligung und die Wegweisung (vgl. Sachverhalt Bst. B und C). Dass der Beschwerdeführer während seiner Anwesenheit in der Schweiz mehrfach straffällig geworden ist, geht aus den Akten hervor und wird nicht bestritten. Der Beschwerdeführer hat mithin klarerweise wiederholt und erheblich gegen die öffentlichen Sicherheit und Ordnung verstossen und damit unter dem Gesichtspunkt von Art. 67 Abs. 2 Bst. a AuG hinreichenden Anlass für die Verhängung eines Einreiseverbots gegeben. Die Einwendungen des Beschwerdeführers beziehen sich denn auch primär auf die Verhältnismässigkeit der angefochtenen Massnahme und werden später geprüft (s. hinten, E. 6).</w:t>
      </w:r>
    </w:p>
    <w:p>
      <w:r>
        <w:rPr>
          <w:b/>
        </w:rPr>
        <w:t>E. 5.2</w:t>
      </w:r>
    </w:p>
    <w:p>
      <w:r>
        <w:t>Das Vorbringen des Beschwerdeführers, der Widerruf der Niederlassungsbewilligung sei namentlich vom Regierungsrat des Kantons Zürich damit gerechtfertigt worden, dass der Kontakt zur Familie mit gegenseitigen Besuchen aufrecht erhalten werden könne (vgl. ZH act. 26 E. 5c), was durch das Einreiseverbot nun verunmöglicht werde, ist sodann klarerweise unbehelflich. Der Kontakt zur Familie kann auch während der Geltungsdauer des Einreiseverbots bis zu einem gewissen Grad mit kontrollierten befristeten Be­suchsaufenthalten in der Schweiz aufrechterhalten werden (ein erstes Suspensionsgesuch hat das BFM im Oktober 2013 bewilligt, vgl. ZH act. 49). Zudem kann die Familie den Beschwerdeführer im Kosovo besuchen und den Kontakt auch mittels Telefon und modernen Kommunikationsmitteln aufrechterhalten (vgl. BVGE 2013/4 E. 7.4.3). Die im Entscheid des Regierungsrates betreffend Widerruf der Niederlassungsbewilligung vorgenommene Interessenabwägung wurde mithin durch die angefochtene Verfügung nicht «ausgehebelt». Im Übrigen hat das Bundesgericht am 28. November 2011 letztinstanzlich über den Widerruf der Niederlassungsbewilligung entschieden und hierbei einzig festgehalten, der Beschwerdeführer werde die familiären Beziehungen zu seinen Eltern und seinen Geschwistern «von der Heimat aus leben können» (vgl. Urteil des BGer 2C_453/2011 E. 2.2.4).</w:t>
      </w:r>
    </w:p>
    <w:p>
      <w:r>
        <w:rPr>
          <w:b/>
        </w:rPr>
        <w:t>E. 5.3</w:t>
      </w:r>
    </w:p>
    <w:p>
      <w:r>
        <w:t>Nachdem die Vorinstanz gegen den Beschwerdeführer ein unbefristetes Einreiseverbot ausgesprochen hat, ist im Folgenden - ungeachtet des Fehlens einer diesbezüglichen substantiierten Rüge des anwaltlich vertretenen Beschwerdeführers - noch vor der später vorzunehmenden Interessenabwägung von Amtes wegen zu prüfen, ob das Kriterium der schwerwiegenden Gefahr gemäss Art. 67 Abs. 3 AuG erfüllt ist.</w:t>
      </w:r>
    </w:p>
    <w:p>
      <w:r>
        <w:rPr>
          <w:b/>
        </w:rPr>
        <w:t>E. 5.4</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Urteile des BVGer C 760/2012 vom 24. Juli 2013 E. 9.4.1 und C-3091/2011 E. 6.1.5)</w:t>
      </w:r>
    </w:p>
    <w:p>
      <w:r>
        <w:rPr>
          <w:b/>
        </w:rPr>
        <w:t>E. 5.5</w:t>
      </w:r>
    </w:p>
    <w:p>
      <w:r>
        <w:t>Der Beschwerdeführer wurde während seiner Anwesenheit in der Schweiz seit dem Jugendalter, wiederholt und in erheblichem Mass straffällig. Bereits im Alter von 16 Jahren (Jahr 2001) wurde er wegen mehrfachen Raubs, betrügerischen Missbrauchs einer Datenverarbeitungsanlage und Übertretung des Betäubungsmittelgesetzes zu einer Arbeitsleistung verpflichtet (vgl. Sachverhalt Bst. B). Im Jahr 2004 wurde er wegen Vergehens gegen das Waffengesetz (Besitz eines Springmessers ohne Bewilligung) und wegen Übertretung des Betäubungsmittelgesetzes (Besitz von ca. 2,3 Gramm Haschisch) mit einer Busse von Fr. 250.- bestraft (ZH act. 1). Im Jahr 2005 wurde er wegen Diebstahls, Sachbeschädigung und Hausfriedensbruchs zu einer dreimonatigen bedingten Gefängnisstrafe verurteilt (vgl. ZH act. 2). In den Jahren 2007 und 2008 wurde er vom Bezirksgericht Zürich u.a. wegen gewerbs- und bandenmässigen Diebstahls, mehrfacher Sachbeschädigung, mehrfachen Hausfriedensbruchs, mehrfachen Fahrens in fahrunfähigem Zustand und ohne Führerausweis, Widerhandlung gegen das Waffengesetz, mehrfacher Übertretung des Betäubungsmittelgesetzes sowie mehrfacher sexueller Handlungen mit Kindern zu Freiheitsstrafen von 33 Monaten (als Gesamtstrafe) bzw. 15 Monaten (als Zusatzstrafe) verurteilt. Das Bezirksgericht wertete das Verschulden des Beschwerdeführers in seinen Urteilen namentlich betreffend die Verurteilung wegen gewerbs- und bandenmässigen Diebstahls als erheblich: Er habe mit grosser krimineller Energie eine Vielzahl von Einbruchsdiebstählen begangen, wobei sein Vorgehen von einer gewissen Professionalität und Rücksichtslosigkeit zeuge (vgl. ZH act. 4/I S. 25 f. sowie ZH act. 6 S. 75). Der Beschwerdeführer ist demnach in der Schweiz über längere Zeit hinweg in uneinsichtiger Weise straffällig geworden. Weder Untersuchungshaft, hängige Strafverfahren und bereits erfolgte Verurteilungen noch die Beziehungen zu seinen Eltern und Geschwistern hielten ihn davon ab, immer wieder die öffentliche Sicherheit und Ordnung in schwerer Weise zu beeinträchtigen (vgl. Urteil des BGer 2C_453/2011 E. 2.2.2). Namentlich die zahlreichen, vom Beschwerdeführer in banden- und gewerbsmässiger Weise begangenen Einbruchdiebstähle stellen in ihrer Gesamtheit eine gravierende Delinquenz dar. Sodann wurde er als 16 jähriger wegen mehrfachen Raubs und damit wegen Delikten gegen ein besonders schützenswertes Rechtsgut, die körperliche Integrität, verurteilt (vgl. BFM act. 1 S. 15). Das Verschulden bezüglich der begangenen Verkehrsdelikte wurde vom Bezirksgericht als erheblich gewertet, weil andere Verkehrsteilnehmer gefährdet wurden (vgl. ZH act. 6 S. 76), und auch das Verschulden betreffend die Widerhandlung gegen das Waffengesetz war erheblich (Besitz eines Sturmgewehrs inkl. Munition, vgl. ZH act. 6 S. 76). Zu seinen Gunsten ins Gewicht fällt, dass er «nur» wegen Drogenkonsums gebüsst, nicht aber wegen Drogenhandels verurteilt wurde (vgl. Sach­­verhalt Bst. B), dass er seit langer Zeit keine Delikte gegen die körperliche Integrität mehr begangen hat (vgl. ZH act. 16 S. 12) und dass das Verschulden mit Bezug auf die Verurteilung wegen sexuellen Handlungen mit einem Kind als leicht eingestuft wurde (er hatte als junger Erwachsener eine ca. zweijährige Beziehung mit einer sich teilweise noch im Schutzalter befindlichen Teenagerin, vgl. ZH act. 6 S. 76). Dennoch spricht die langjährige, gravierende und an Intensität zunehmende deliktische Tätigkeit des Beschwerdeführers grundsätzlich dafür, von einer schwerwiegenden Gefahr für die öffentliche Sicherheit und Ordnung auszugehen.</w:t>
      </w:r>
    </w:p>
    <w:p>
      <w:r>
        <w:rPr>
          <w:b/>
        </w:rPr>
        <w:t>E. 5.6</w:t>
      </w:r>
    </w:p>
    <w:p>
      <w:r>
        <w:t>Die letzte strafrechtliche Verurteilung liegt mittlerweile rund sechs Jahre und die Entlassung aus der Massnahme über vier Jahre zurück. Seither hat sich der Beschwerdeführer strafrechtlich - jedenfalls soweit aktenkundig - nichts mehr zu Schulden kommen lassen (vgl. BVGE 2013/4 E. 7.4.6; BVGE 2008/24 E. 6.2; Urteil des BVGer C 794/2011 vom 14. Mai 2013 E. 7.3). Der Massnahmenbericht vom 11. Dezember 2009 hielt jedoch fest, dass von ihm - trotz gewisser Fortschritte - «aufgrund der fehlenden Therapiemotivation weiterhin ein deutliches strukturelles Rückfallrisiko für einschlägige Delinquenz bei geringer bis moderater Beeinflussbarkeit» bestehe (vgl. ZH act. 15 S. 3). Auch das Bezirksgericht hielt im Entscheid betreffend Aufhebung der Massnahme vom 27. Januar 2010 fest, neuerliche Fehltritte seien «nicht auszuschliessen» (ZH act. 16 S. 12). Das Bundesgericht berief sich primär auf diese Einschätzungen, als es den Widerruf der Niederlassungsbewilligung als verhältnismässig einstufte (vgl. Urteil des BGer 2C_452/2011 E. 2.2.4). Der Massnahmenvollzug wurde als «insgesamt eher positiv» bewertet, obwohl der Beschwerdeführer mehrmals disziplinarisch mit Arrest bestraft werden musste und wiederholt aus der Massnahme entwichen war (wobei er jeweils freiwillig zurückkehrte). Während der Massnahme konsumierte er - nach anfänglichen Schwierigkeiten - keine illegalen Substanzen mehr (vgl. ZH act. 15 S. 3). Dies ist insofern relevant, als ihm ein psychiatrisches Gutachten im Jahr 2007 «an sich gute soziale Fähigkeiten» attestierte, die aber «durch den langjährigen Konsum von Cannabis gemindert» worden seien (vgl. ZH act. 6 S. 82). Die verübten Delikte standen allerdings nicht nur in Zusammenhang mit seinem Cannabis-Konsum, sondern auch «mit seinem ungestillten Geltungsbedürfnis, seinem starken Wunsch, einer Gruppe anzugehören, seiner Suche nach Abenteuern und Nervenkitzel und seiner stark emotional retardierten Entwicklung» (vgl. ZH act. 30 S. 11 sowie ZH act. 6 S. 83). Während der Massnahme war der Beschwerdeführer nur beschränkt bereit, sich mit den begangenen Delikten auseinanderzusetzen. Dass er die Massnahme und die Malerlehre frühzeitig abgebrochen hat, wirkt sich negativ auf die Legalprognose aus (vgl. ZH act. 15 f. u. 26 E. 5b). Der Verlauf der Probezeit (bis Ende Januar 2011) wurde von der Bewährungshilfe als positiv bewertet (vgl. ZH act. 29; der Beschwerdeführer hielt Termine und Vereinbarungen ein und arbeitete im Kiosk seines Bruders). Dieses Wohlverhalten ist jedoch nur beschränkt aussagekräftig, zumal der Beschwerdeführer während der Dauer der Massnahme, der Probezeit und auch bis zum Entscheid des Bundesgerichts Ende November 2011 (ZH act. 36) unter dem Eindruck der drohenden Wegweisung aus der Schweiz stand (vgl. auch Urteil des BVGer C 3091/2011 E. 6.1.4). Sicherlich kann davon ausgegangen werden, dass er mittlerweile eine gewisse Entwicklung gemacht hat, ist er doch heute ein 29 jähriger Familienvater, der sämtliche Delikte als Jugendlicher oder junger Erwachsener begangen hat (vgl. ZH act. 6 S. 81 ff.). Allerdings kann zum heutigen Zeitpunkt namentlich aufgrund des frühzeitigen Abbruchs der Massnahme noch nicht von einer gefestigten Wandlung ausgegangen werden. Der Beschwerdeführer hat während seiner Anwesenheit in der Schweiz über Jahre hinweg mit zunehmender Intensität und in insgesamt gravierender Weise (Freiheitsstrafen von insgesamt 48 Monaten) gewerbs- und bandenmässig delinquiert und sich noch nicht hinreichend lange eigenständig in Freiheit bewährt. Es besteht weiterhin ein erhebliches Risiko, dass er in frühere Verhaltensmuster verfällt, mithin ein strukturelles Rückfallrisiko. Es ist daher nach wie vor davon auszugehen, dass der Beschwerdeführer eine schwerwiegende Gefahr für die öffentliche Sicherheit und Ordnung darstellt. Dies rechtfertigt grundsätzlich eine Überschreitung der fünfjährigen Regelhöchstdauer des Einreiseverbots gemäss Art. 67 Abs. 3 AuG (s. vorne, E. 5.4).</w:t>
      </w:r>
    </w:p>
    <w:p>
      <w:r>
        <w:rPr>
          <w:b/>
        </w:rPr>
        <w:t>E. 6.1</w:t>
      </w:r>
    </w:p>
    <w:p>
      <w:r>
        <w:t>Es bleibt zu prüfen, ob die Massnahme in richtiger Ausübung des Ermessens ergangen und angemessen ist. Der Grundsatz der Verhältnismässigkeit steht dabei im Vordergrund. Vorzunehmen ist eine wertende Abwägung zwischen dem öffentlichen Interesse an der Massnahme und den beeinträchtigten privaten Interessen des Betroffenen.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2010, Rz. 613 ff.).</w:t>
      </w:r>
    </w:p>
    <w:p>
      <w:r>
        <w:rPr>
          <w:b/>
        </w:rPr>
        <w:t>E. 6.2</w:t>
      </w:r>
    </w:p>
    <w:p>
      <w:r>
        <w:t>Vom Beschwerdeführer geht wie dargetan (s. vorne, E. 5.4 ff.) nach wie vor eine schwerwiegende Gefahr für die öffentliche Sicherheit und Ordnung aus, weshalb klarerweise ein grosses öffentliches Fernhalteinteresse besteht. Zu berücksichtigen ist, dass er über Jahre hinweg in gewerbs- und bandenmässiger Weise Einbruchsdiebstähle (vgl. Sachverhalt Bst. B) und damit eine der in Art. 121 Abs. 3 BV genannten Anlasstaten begangen hat, welche nach dem Verfassungsgeber dazu führen sollen, dass der Täter aus der Schweiz ausgewiesen und mit einem Einreiseverbot von fünf bis fünfzehn Jahren belegt werden (vgl. Art. 121 Abs. 5 BV). Der Wertung dieser nicht direkt anwendbaren Verfassungsnorm (vgl. BGE 139 I 16 E. 4.3) ist anlässlich der Interessenabwägung insoweit Rechnung zu tragen, als dies zu keinem Widerspruch zum Völkerrecht oder anderen Verfassungsbestimmungen führt (vgl. BGE 139 I 31 E. 2.3.2 sowie Urteil des BVGer C 4568/2012 vom 6. September 2013 E. 7.4 je mit Hinweisen).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resp.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 des BGer 2C_948/2011 vom 11. Juli 2012 E. 3.4.2).</w:t>
      </w:r>
    </w:p>
    <w:p>
      <w:r>
        <w:rPr>
          <w:b/>
        </w:rPr>
        <w:t>E. 6.3</w:t>
      </w:r>
    </w:p>
    <w:p>
      <w:r>
        <w:t>Den öffentlichen Interessen sind die privaten Interessen des Beschwerdeführers und seiner Familie gegenüberzustellen. Der Beschwerdeführer bringt vor, er sei in der Schweiz aufgewachsen und habe sein gesamtes Beziehungsnetz hier und in Deutschland. Sowohl seine Eltern als auch seine Geschwister lebten in der Schweiz (vgl. ZH act. 26 E. 5c). Er beruft sich insbesondere darauf, dass er im Dezember 2012 seine in der Schweiz niederlassungsberechtigte Partnerin geheiratet hat und im Oktober 2013 Vater einer Tochter geworden ist, und bringt vor, diese Umstände unterstrichen sein Interesse und dasjenige seiner Ehefrau und seines Kindes an der Aufhebung, zumindest aber an einer zeitlichen Beschränkung des Einreiseverbots. Er beruft sich damit sinngemäss auf das Recht auf Familienleben gemäss Art. 8 EMRK und Art. 13 BV.</w:t>
      </w:r>
    </w:p>
    <w:p>
      <w:r>
        <w:rPr>
          <w:b/>
        </w:rPr>
        <w:t>E. 6.3.1</w:t>
      </w:r>
    </w:p>
    <w:p>
      <w:r>
        <w:t>Hervorzuheben ist, dass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im Februar 2012 verlassen (vgl. Sachverhalt Bst. C) und verzichtete - jedenfalls soweit ersichtlich - bis anhin darauf, ein neuerliches Aufenthaltsverfahren anzustrengen. Die Wohnsitznahme in der Schweiz wie auch die Pflege regelmässiger persönlicher Kontakte zur hier lebenden Familie scheitern mithin bereits an der nicht mehr vorhandenen Aufenthaltsberechtigung des Beschwerdeführers. Eine allfällige neue Bewilligung im Rahmen des Familiennachzugs ist nicht Gegenstand dieses Verfahrens. Hierfür ist der Kanton zuständig (vgl. dazu BVGE 2013/4 E. 7.4.1).</w:t>
      </w:r>
    </w:p>
    <w:p>
      <w:r>
        <w:rPr>
          <w:b/>
        </w:rPr>
        <w:t>E. 6.3.2</w:t>
      </w:r>
    </w:p>
    <w:p>
      <w:r>
        <w:t>Nach dem Gesagten stellt sich im Folgenden nunmehr einzig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 seinen Familienangehörigen in der Schweiz nicht schlechthin untersagt werden. Es steht ihm offen, aus wichtigen Gründen die zeitweilige Sus­pension der angeordneten Fernhaltemassnahme zu beantragen (Art. 67 Abs. 5 AuG). Diese Suspension wird freilich praxisgemäss jeweils nur für eine kurze und klar begrenzte Zeit gewährt. Die Vorinstanz hat dem Beschwerdeführer im Oktober 2013 ein erstes Suspensionsgesuch zwecks Anwesenheit bei der Geburt der Tochter bewilligt (vgl. Sachverhalt Bst. J), und sowohl deshalb wie auch aufgrund ihrer Ausführungen im Rahmen des Schriftenwechsels kann davon ausgegangen werden, dass - weiteres Wohlverhalten des Beschwerdeführers vorausgesetzt - der Kontakt zwischen ihm und seiner Familie während der Dauer des Einreise­verbots bis zu einem gewissen Grad mit kontrollierten befristeten Be­suchsaufenthalten in der Schweiz aufrechterhalten werden kann. Zudem kann die Familie des Beschwerdeführers diesen im Kosovo besuchen und den Kontakt auch mittels Telefon und modernen Kommunikationsmitteln aufrechterhalten. Allerdings darf ein Einreiseverbot nicht mittels Sus­pensionen ausgehöhlt werden. Selbst wenn die Vorinstanz dem Wunsch nach Kontaktpflege relativ grosszügig nach­kommt, kann mithin ein Familienleben lediglich in erheblich eingeschränktem Rahmen stattfinden (vgl. BVGE 2013/4 E. 7.4.3 mit Hinweisen)</w:t>
      </w:r>
    </w:p>
    <w:p>
      <w:r>
        <w:rPr>
          <w:b/>
        </w:rPr>
        <w:t>E. 6.3.3</w:t>
      </w:r>
    </w:p>
    <w:p>
      <w:r>
        <w:t>Die Angaben des Beschwerdeführers betreffend seine in der Schweiz lebende Familie sind allesamt belegt oder aktenkundig. Sowohl seine Eltern und Geschwister als auch seine niederlassungsberechtigte Ehefrau (brasilianische Staatsangehörige, geb. 1987) und die kürzlich zur Welt gekommene Tochter (brasilianische Staatsangehörige, geb. 2013) leben in der Schweiz. Es ist sodann - obwohl sich der Rechtsvertreter des Beschwerdeführers diesbezüglich nicht substantiiert geäussert hat - davon auszugehen, dass die familiären Beziehungen des Beschwerdeführers grundsätzlich intakt sind und die Kontakte soweit möglich gepflegt werden (vgl. auch ZH act. 49). Der Beschwerdeführer und seine Familie haben daher ein ausgeprägtes privates Interesse an einer Aufhebung bzw. Beschränkung der Dauer des Einreiseverbots, zumal dieses das Familienleben erheblich erschwert (s. vorne, E. 6.3.2 in fine).</w:t>
      </w:r>
    </w:p>
    <w:p>
      <w:r>
        <w:rPr>
          <w:b/>
        </w:rPr>
        <w:t>E. 6.3.4</w:t>
      </w:r>
    </w:p>
    <w:p>
      <w:r>
        <w:t>Mit Bezug auf die Gründung einer eigenen Familie ist festzuhalten, dass der Beschwerdeführer zum Zeitpunkt der Heirat (Dezember 2012) und der Geburt der Tochter (Oktober 2013) nicht mehr in der Schweiz aufenthaltsberechtigt war und die Vorinstanz das angefochtene Einreiseverbot bereits erlassen hatte (im Juli 2012). Die Ehegatten mussten sich deshalb im Klaren sein darüber, dass ein Zusammenleben der Familie in der Schweiz für eine lange Dauer nicht möglich sein würde (vgl. Urteil des BGer 2C_249/2012 vom 7. Dezember 2012 E. 3.7 mit Hinweisen). Zudem vermittelt das verfassungs- und konventionsrechtlich garantierte Recht auf Achtung des Familienlebens keinen Anspruch auf freie Wahl des für das Familienleben am geeignetsten erscheinenden Orts. Muss eine ausländische Person das Land verlassen, haben dies ihre Familienangehörigen hinzunehmen, wenn es ihnen ohne Schwierigkeiten möglich ist, mit auszureisen. Erscheint die Ausreise nicht ohne Weiteres zumutbar, ist eine Interessenabwägung resp. eine Einzelfallbetrachtung geboten (vgl. BGE 137 I 247 E. 4.1.1 f. mit Hinweisen). Der Beschwerdeführer hat nicht substantiiert dazu Stellung genommen, weshalb ein Zusammenleben der Familie in einem der beiden Herkunftsländer der Ehegatten nicht möglich wäre. Eine Familienzusammenführung ausserhalb der Schweiz erscheint im vorliegenden Fall nicht von vornherein unmöglich oder unzumutbar, zumal die in der Schweiz niederlassungsberechtigte Ehefrau des Beschwerdeführers erst im Alter von 15 Jahren in die Schweiz eingereist ist (erste Einreise am 27. Dezember 2002; Information gemäss dem Zentralen Migrationssystem des Bundes [ZEMIS]), sich mithin noch nicht sehr lange Zeit hier aufhält. Die Tochter des Beschwerdeführers ist sodann als Kleinkind in einem ohne Weiteres noch anpassungsfähigen Alter. Es kann demnach nicht von einer Verwurzelung in der Schweiz ausgegangen werden, welche eine Ausreise in eines der Heimatländer als unzumutbar erscheinen liesse (vgl. indes z.B. BVGE 2013/4 E. 7.4.4 betreffend eine in der Schweiz geborene und aufgewachsene Ehefrau und Kinder mit Schweizer Bürgerrecht). Klar ersichtlich ist aber auch, dass die Inte­gration in Brasilien oder im Kosovo für die Familie aus familiären, wirtschaftlichen und sprachlichen Gründen mit erheblichen Schwierigkeiten und Härten verbunden wäre.</w:t>
      </w:r>
    </w:p>
    <w:p>
      <w:r>
        <w:rPr>
          <w:b/>
        </w:rPr>
        <w:t>E. 6.3.5</w:t>
      </w:r>
    </w:p>
    <w:p>
      <w:r>
        <w:t>Gemäss Art. 3 Abs. 1 des Übereinkommens vom 20. Novem­ber 1989 über die Rechte des Kindes (KRK, SR 0.107) gilt es das Kindeswohl vorrangig zu berücksichtigen. Die Tochter hat ein Recht auf Kontakt auch zu ihrem Vater, wo­bei zu vermeiden ist, das Kind gleichsam für eine Wahl seiner Eltern zu bestrafen (vgl. BVGE 2013/4 E. 7.4.4 mit Hinweis). Im vorliegenden Fall ist aufgrund der Ausführungen des Beschwerdeführers davon auszugehen, dass die Ehegatten aus familiären und wirtschaftlichen Gründen ein künftiges Zusammenleben der Familie in der Schweiz anstreben. Diese Wahl der Eltern führt dazu, dass die Tochter während der Dauer der Fernhaltemassnahme nur einen stark eingeschränkten Kontakt zu ihrem Vater haben wird, womit sie - im Gegensatz zur Ehefrau des Beschwerdeführers - offensichtlich nicht rechnen konnte. Primär weil das Kindeswohl gemäss Art. 3 Abs. 1 KRK vorrangig zu berücksichtigen ist, aber auch weil die privaten Interessen des Beschwerdeführers insgesamt erheblich ins Gewicht fallen, ist das Einreiseverbot zu befristen und auf eine angemessene Dauer von sechs Jahren festzulegen. Eine weiter gehende zeitliche Beschränkung oder eine Aufhebung des Einreiseverbots, wie dies beantragt wird, ist jedoch angesichts des ausgeprägten öffentlichen Fernhalteinteresses (s. vorne, E. 6.2) nicht geboten.</w:t>
      </w:r>
    </w:p>
    <w:p>
      <w:r>
        <w:rPr>
          <w:b/>
        </w:rPr>
        <w:t>E. 6.4</w:t>
      </w:r>
    </w:p>
    <w:p>
      <w:r>
        <w:t>Eine wertende Gewichtung der sich entgegenstehenden Inte­ressen führt das Bundesverwaltungsgericht zusammenfassend zum Schluss, dass das Einreiseverbot dem Grundsatz nach zu bestätigen ist, in der ausgesprochenen unbefristeten Dauer jedoch unverhältnismässig ist. In Würdigung der gesamten Umstände ist davon auszugehen, dass dem öffentlichen Interesse an der Fernhaltung des Beschwerde­führers mit einem auf sechs Jahre be­fristeten Einreiseverbot hinreichend Rechnung getragen wird. Auf diese Weise wird berücksichtigt, dass der Beschwerdeführer seit mehreren Jahren keine Straftaten mehr begangen hat, mittler­weile 29-jährig ist und eine eigene Familie gegründet hat, deren Interessen - namentlich dasjenige der Tochter - ebenfalls zu beachten sind. Der Beschwerdeführer muss sich indes darüber im Klaren sein, dass die Perspektive eines Zusammenlebens mit der Familie in der Schweiz zwingend ein vollumfängliches Wohlverhalten voraussetzt (und zwar sowohl wäh­rend des Aufenthalts im Kosovo als auch anlässlich der Besuche in der Schweiz). Nicht zu beanstanden ist aufgrund der langjährigen, gravierenden Delinquenz des Beschwerdeführers, dass ihm die Vorinstanz die Einreise in das Hoheitsgebiet sämtlicher Schengen-Staaten verboten hat (vgl. Art. 21 i.V.m. Art. 24 SIS-II-VO sowie Art. 5 Abs. 1 Bst. d und Art. 13 Abs. 1 SGK; s. auch vorne, E. 4.3), zumal die Schweiz auch deren Interessen zu wahren hat (vgl. BVGE 2011/48 E. 6.1).</w:t>
      </w:r>
    </w:p>
    <w:p>
      <w:r>
        <w:rPr>
          <w:b/>
        </w:rPr>
        <w:t>E. 7</w:t>
      </w:r>
    </w:p>
    <w:p>
      <w:r>
        <w:t>Aus diesen Erwägungen folgt, dass das unbefristete Einreiseverbot Bundesrecht verletzt (vgl. Art. 49 VwVG). Die Beschwerde ist daher teilweise gutzuheissen und das gegen den Beschwerdeführer verhängte Einreiseverbot auf sechs Jahre, d.h. bis zum 16. Juli 2018, zu befristen.</w:t>
      </w:r>
    </w:p>
    <w:p>
      <w:r>
        <w:rPr>
          <w:b/>
        </w:rPr>
        <w:t>E. 8</w:t>
      </w:r>
    </w:p>
    <w:p>
      <w:r>
        <w:t>Die ermässigten Verfahrenskosten sind bei diesem Verfahrensausgang dem Beschwerdeführer aufzuerlegen (vgl. Art. 63 Abs. 1 VwVG sowie Art. 1 ff.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