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C-4897/2011 vom 2. Juli 2014</w:t>
      </w:r>
    </w:p>
    <w:p>
      <w:r>
        <w:t>Bundesverwaltungsgericht, 2014-07-02, DE</w:t>
      </w:r>
    </w:p>
    <w:p>
      <w:r>
        <w:rPr>
          <w:b/>
        </w:rPr>
        <w:t xml:space="preserve">Quelle: </w:t>
      </w:r>
      <w:r>
        <w:t>https://mcp.opencaselaw.ch/entscheid/bvger_C-4897_2011</w:t>
      </w:r>
    </w:p>
    <w:p>
      <w:r>
        <w:t>FR: TAF C-4897/2011 du 2 juillet 2014</w:t>
      </w:r>
    </w:p>
    <w:p>
      <w:r>
        <w:t>IT: TAF C-4897/2011 del 2 luglio 2014</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Anfechtungsgegenstand des vorliegenden Verfahrens bildet der Ver­waltungsakt der Auffangeinrichtung vom 4. Juli 2011 welcher eine Verfügung im Sinne von Art. 5 Abs. 1 VwVG darstellt und mit welchem die Vorinstanz Zwangsanschluss gemäss Art. 12 BVG verfügt hatte. Dagegen hat die Beschwerdeführerin am 6. September 2011 fristgerecht (Art. 50 in Verbindung mit Art. 22a Abs. 1 Bst. b VwVG) und formgerecht (52 VwVG) Beschwerde erhoben. Als Adressatin ist sie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1.4</w:t>
      </w:r>
    </w:p>
    <w:p>
      <w:r>
        <w:t>Streitig und zu prüfen ist, ob der am 4. Juli 2011 verfügte Zwangsanschluss zu Recht erfolgt ist und in diesem Zusammenhang, ob die Beschwerdeführerin die ihr auferlegten Gebühren und Kosten zu tragen hat.</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w:t>
      </w:r>
    </w:p>
    <w:p>
      <w:r>
        <w:rPr>
          <w:b/>
        </w:rPr>
        <w:t>E. 2.2</w:t>
      </w:r>
    </w:p>
    <w:p>
      <w:r>
        <w:t>Die Auffangeinrichtung ist eine Vorsorgeeinrichtung (Art. 60 Abs. 1 BVG). Sie ist verpflichtet, Arbeitgeber, die ihrer Pflicht zum Anschluss an eine Vorsorgeeinrichtung nicht nachkommen, oder Arbeitgeber auf deren Begehren, anzuschliessen (Art. 60 Abs. 2 Bst. a und b BVG). Der Anschluss erfolgt rückwirkend (Art. 11 Abs. 3 BVG). Um der Auffangeinrichtung die Wiederanschlusskontrolle zu ermöglichen, sind die Vorsorgeeinrichtungen verpflichtet, der Auffangeinrichtung Auflösungen der Anschlussverträge innert 60 Tagen, frühestens aber 30 Tage nach Auflösung, schriftlich zu melden. Die gemeldeten Arbeitgeber werden alsdann von der Geschäftsstelle der Auffangeinrichtung erfasst und aufgefordert, sich binnen zwei Monaten einer neuen Vorsorgeeinrichtung anzuschliessen. Verstreicht diese Frist ungenutzt, erfolgt die Meldung der säumigen Arbeitgeber an die zuständigen Zweigstellen der Auffangeinrichtung zum Zwangsanschluss (Marc Hürzeler, in: Schneider/Geiser/Gächter, Handkommentar zum BVG und FZG, Bern 2010, N 8 zu Art. 60 BVG).</w:t>
      </w:r>
    </w:p>
    <w:p>
      <w:r>
        <w:rPr>
          <w:b/>
        </w:rPr>
        <w:t>E. 2.3</w:t>
      </w:r>
    </w:p>
    <w:p>
      <w:r>
        <w:t>Gemäss Art. 11 Abs. 7 1. Satz BVG stellt die Auffangeinrichtung dem säumigen Arbeitgeber den von ihm verursachten Verwaltungsaufwand in Rechnung. Gemäss Art. 3 Abs. 4 der Verordnung vom 28. August 1985 über die Ansprüche der Auffangeinrichtung der beruflichen Vorsorge (SR 831.434; im Folgenden: Verordnung über die Ansprüche der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(BVG-act. 11, Anschlussvereinbarung, S. 4).</w:t>
      </w:r>
    </w:p>
    <w:p>
      <w:r>
        <w:rPr>
          <w:b/>
        </w:rPr>
        <w:t>E. 2.4</w:t>
      </w:r>
    </w:p>
    <w:p>
      <w:r>
        <w:t>Gemäss Art. 12 Abs. 1 BVG haben die Arbeitnehmer oder ihre Hinterlassenen Anspruch auf die gesetzlichen Leistungen, auch wenn sich der Arbeitgeber noch keiner Vorsorgeeinrichtung angeschlossen hat. Diese werden von der Auffangeinrichtung erbracht. Art. 2 der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 12 BVG auszurichten. Insofern regelt Art. 12 BVG einen Spezialfall gegenüber Art. 11 BVG (BGE 129 V 237 E. 5 mit Hinweisen). Ein Freizügigkeitsfall, der Anspruch auf eine Austrittsleistung gibt, ist dann gegeben, wenn der Versicherte die Vorsorgeeinrichtung verlässt (Hermann Walser, in: Schneider/Geiser/Gächter, Handkommentar zum BVG und FZG, Bern 2010, N 81 zu Art. 2 FZG).</w:t>
      </w:r>
    </w:p>
    <w:p>
      <w:r>
        <w:rPr>
          <w:b/>
        </w:rPr>
        <w:t>E. 2.5</w:t>
      </w:r>
    </w:p>
    <w:p>
      <w:r>
        <w:t>Schliesst sich ein Arbeitgeber einer registrierten Vorsorgeeinrichtung an, so sind alle dem Gesetz unterstellten Arbeitnehmer bei dieser Vorsorgeeinrichtung versichert (Art. 7 Abs. 1 BVV 2). Will sich der Arbeitgeber verschiedenen registrierten Vorsorgeeinrichtungen anschliessen, so muss er die Gruppen der Versicherten so bestimmen, dass alle dem Gesetz unterstellten Arbeitnehmer versichert sind (Art. 7 Abs. 2 BVV 2).</w:t>
      </w:r>
    </w:p>
    <w:p>
      <w:r>
        <w:rPr>
          <w:b/>
        </w:rPr>
        <w:t>E. 3.1</w:t>
      </w:r>
    </w:p>
    <w:p>
      <w:r>
        <w:t>Die Arbeitgeberin macht am 6. September 2011 beschwerdeweise geltend, sie habe bereits im Jahr 2008 einen freiwilligen Anschluss bei der Vorinstanz angestrebt und im Dezember 2008 die Anmeldungsunterlagen eingereicht. Das Schreiben der Vorinstanz vom 27. April 2010, welches auf Mängel in der Anmeldung hinwies, habe sie nie erhalten. Das Verfahren betreffend den freiwilligen Anschluss sei durch die Vorinstanz verzögert worden, weshalb ein Zwangsanschluss unrechtmässig sei. Nachdem die Winterthur am 21. April 2009 der Vorinstanz die Auflösung des Anschlussvertrages gemeldet hatte, ersuchte diese die Beschwerdeführerin mit Schreiben vom 15. Juni 2009, bis zum 27. August 2009 den Anschluss an eine Vorsorgeeinrichtung nachzuweisen, ansonsten ein Zwangsanschluss erfolgen würde. Die Beschwerdeführerin verlangte, die Frist zur Einreichung der Anmeldungsunterlagen bis 15. September 2009 zu erstrecken (BVG-act. 6); sie unterliess es aber in der Folge, eine Anschlussvereinbarung einzureichen. Am 1. Dezember 2009 wurde die Beschwerdeführerin unter Androhung eines Zwangsanschlusses und mit Hinweis auf das Reglement erneut aufgefordert, die entsprechenden Unterlagen einzureichen. Dieser Aufforderung kam sie schlussendlich am 28. Dezember 2009 nach; jedoch versäumte sie es, trotz Aufforderung vom 19. Januar 2010, alle geforderten Daten bekannt zu geben. Die Anmeldungsunterlagen waren zudem unvollständig. Sowohl in der Anschlussvereinbarung als auch auf dem Fragebogen zur Anmeldung eines Betriebes wurden zwei Gesellschaften - zum einen die Kollektivgesellschaft B._______ und zum anderen die Kollektivgesellschaft X.________ - angegeben. Zudem wurde der letzte Satz der Ziffer 4 der Anschlussvereinbarung (Kostenreglement) durchgestrichen und handschriftlich folgendermassen ergänzt: "Dieses Kostenreglement wird vom Arbeitgeber und vom Arbeitnehmer ausdrücklich nicht anerkannt." (BVG-act. 11, Anschlussvereinbarung, S. 2). Der selbe Vermerk wurde im Anhang zur Anschlussvereinbarung (S. 4) angebracht. Mit Schreiben vom 7. Juli 2010 wurde die Beschwerdeführerin erneut auf einen Zwangsanschluss mit der Möglichkeit zur Stellungnahme hingewiesen. Die Beschwerdeführerin verzichtete jedoch, sich zu äussern und reichte stattdessen erneut Anmeldungsunterlagen ein; diesmal lautend nur auf die Kollektivgesellschaft X._______. Abermals erkannte sie das Kostenreglement als integrierter Bestandteil der Anmeldung nicht an. Erst nach Erlass der angefochtenen Verfügung stellte sie mit Schreiben vom 18. Juli 2011 (BVG-act. 17) einen Antrag auf Wiedererwägung und gab an, "zu einem späteren Zeitpunkt" ihre Gründe darlegen zu wollen.</w:t>
      </w:r>
    </w:p>
    <w:p>
      <w:r>
        <w:rPr>
          <w:b/>
        </w:rPr>
        <w:t>E. 3.2</w:t>
      </w:r>
    </w:p>
    <w:p>
      <w:r>
        <w:t>Es lässt sich anhand der vorliegenden Akten die Frage, ob die Beschwerdeführerin das Schreiben vom 27. April 2010 erhalten hat, nicht beantworten. Die Beantwortung ist für den Entscheid jedoch auch nicht relevant. Trotz mehrmaliger Aufforderungen (15. Juni 2009, 1. Dezember 2009, 19. Januar 2010, 7. Juli 2010) kam die Beschwerdeführerin weder ihrer Pflicht, sich einer registrierten Vorsorgeeinrichtung anzuschliessen, nach, noch reichte sie fristgerecht eine Stellungnahme oder rechtsgültige Anmeldung ein.</w:t>
      </w:r>
    </w:p>
    <w:p>
      <w:r>
        <w:rPr>
          <w:b/>
        </w:rPr>
        <w:t>E. 3.3</w:t>
      </w:r>
    </w:p>
    <w:p>
      <w:r>
        <w:t>Die Arbeitgeberin ist ein Sommersaisonbetrieb. Durch den Umstand, dass gemäss Jahresabrechnung 2009 (BVG-act. 17, S. 9) BVG-pflichtige Arbeitnehmer spätestens Ende November 2009 aus dem Betrieb ausgeschieden sind, musste die Vorinstanz mangels Vorliegen eines (freiwilligen) Anschlusses der Beschwerdeführerin an eine Vorsorgeeinrichtung mit Blick auf Art. 12 Abs. 1 und Art. 60 Abs. 2 Bst. a BVG in Verbindung mit Art. 2 Abs. 1 der Verordnung über die Ansprüche der Auffangeinrichtung handeln und die Beschwerdeführerin zwangsanschliessen. Wie die Vorinstanz zutreffend ausgeführt hat, war ein freiwilliger Anschluss nach dem Austritt der saisonal angestellten Mitarbeiter während des Jahres 2009 nicht mehr möglich gewesen; ein Anschluss an die Auffangeinrichtung auf freiwilliger Basis hätte nur solange erfolgen können, als noch kein Leistungs- resp. Freizügigkeitsfall eingetreten war (vgl. hierzu auch E. 2.4 hiervor).</w:t>
      </w:r>
    </w:p>
    <w:p>
      <w:r>
        <w:rPr>
          <w:b/>
        </w:rPr>
        <w:t>E. 3.4</w:t>
      </w:r>
    </w:p>
    <w:p>
      <w:r>
        <w:t>Den Zwangsanschluss hat die Beschwerdeführerin zu vertreten, da sie im Zeitpunkt der Anschlussverfügung vom 4. Juli 2011 den Nachweis eines Anschlusses an eine registrierte Vorsorgeeinrichtung nicht fristgerecht hat erbringen können. Selbst wenn davon ausgegangen würde, dass sie das Schreiben vom 27. April 2010 nicht erhalten hat, führt dies - wie erläutert - zu keinem anderen Ergebnis. Es wäre Sache der Beschwerdeführerin gewesen, sich mit Blick auf die Anschlusspflicht per 1. Januar 2009 einer Vorsorgeeinrichtung anzuschliessen resp. rechtsgültige Unterlagen einzureichen. Die von ihr zu verantwortenden Verzögerungen führten letztlich dazu, dass die Vorinstanz androhungsgemäss und in Anwendung der gesetzlichen Grundlagen (vgl. E. 2.3 und 3.3 hiervor) den Zwangsanschluss hatte verfügen müssen.</w:t>
      </w:r>
    </w:p>
    <w:p>
      <w:r>
        <w:rPr>
          <w:b/>
        </w:rPr>
        <w:t>E. 3.5</w:t>
      </w:r>
    </w:p>
    <w:p>
      <w:r>
        <w:t>Die beiden Kollektivgesellschaften - B._______ und X._______ werden durch die selben Gesellschafter vertreten. Die Beschwerdeführerin verlangt nun in ihrer Beschwerde (act. 1, S. 4) einen einzigen Anschlussvertrag, der beide Gesellschaften umfasst. Da es sich bei den B._______ (Firmennummer CHE- (...), vgl. www.zefix.ch; zuletzt besucht am 27. Mai 2014) sowie dem X._______ (Firmennummer CHE- (...), vgl. www.zefix.ch; zuletzt besucht am 27. Mai 2014) um zwei eigenständige Unternehmungen handelt, durfte die Vorinstanz die Gesellschaften mit separaten Verträgen anschliessen. Ihr Handeln ist diesbezüglich nicht zu beanstanden.</w:t>
      </w:r>
    </w:p>
    <w:p>
      <w:r>
        <w:rPr>
          <w:b/>
        </w:rPr>
        <w:t>E. 4.1</w:t>
      </w:r>
    </w:p>
    <w:p>
      <w:r>
        <w:t>Nach dem vorstehend Dargelegten ist zusammenfassend festzuhalten, dass die Vorinstanz am 4. Juli 2011 zu Recht einen zwangsweisen Anschluss rückwirkend per 1. Januar 2009 verfügt hat. Die Beschwerdeführerin hat die daraus entstehenden rechtlichen Konsequenzen zu tragen. Sie ist für den Aufwand der Vorinstanz im Zusammenhang mit der Anschlussverfügung vom 4. Juli 2011 verantwortlich und hat deshalb die Kosten, welche korrekterweise und reglementskonform auf Fr. 450.- für die Verfügung und Fr. 375.- für den Zwangsanschluss festgesetzt wurden, zu übernehmen (Art. 3 Abs. 4 Verordnung über die Ansprüche der Auffangeinrichtung der beruflichen Vorsorge vom 28. August 1985 [SR 831.434]; vgl. auch Urteil des Bundesverwaltungsgerichts C-3291/2011 vom 2. Mai 2013, E. 6.1 mit Hinweisen). Hingegen nicht korrekt erhoben wurden die Kosten für die rückwirkende Rechnungsstellung, weil diese - wie der Begriff bereits sagt - erst im Rahmen der (Beitrags-)Rechnungs-stellung verfügt werden können. Vorliegend wurde erst der Zwangsanschluss verfügt, weshalb im heutigen Zeitpunkt noch keine Kosten für eine erst später zu erhebende Beitragsrechnung aufzuerlegen sind (vgl. Urteil des Bundesverwaltungsgerichts C-2225/2012 vom 19. November 2013, E. 4.1).</w:t>
      </w:r>
    </w:p>
    <w:p>
      <w:r>
        <w:rPr>
          <w:b/>
        </w:rPr>
        <w:t>E. 4.2</w:t>
      </w:r>
    </w:p>
    <w:p>
      <w:r>
        <w:t>Die Anschlussverfügung der Vorinstanz vom 4. Juli 2011 lässt sich demnach insofern beanstanden, als darin die Kostenauferlegung für die rückwirkende Rechnungsstellung erfolgt war. Somit ist die am 6. September 2011 erhobene Beschwerde diesbezüglich teilweise gutzuheissen; im Übrigen ist sie abzuweisen.</w:t>
      </w:r>
    </w:p>
    <w:p>
      <w:r>
        <w:rPr>
          <w:b/>
        </w:rPr>
        <w:t>E. 5</w:t>
      </w:r>
    </w:p>
    <w:p>
      <w:r>
        <w:t>Zu befinden bleibt noch über die Verfahrenskosten und eine allfällige Parteientschädigung.</w:t>
      </w:r>
    </w:p>
    <w:p>
      <w:r>
        <w:rPr>
          <w:b/>
        </w:rPr>
        <w:t>E. 5.1</w:t>
      </w:r>
    </w:p>
    <w:p>
      <w:r>
        <w:t>Gemäss Art. 63 Abs. 1 VwVG werden die Verfahrenskosten in der Regel der unterliegenden Partei auferlegt. Der Ausgang des vorliegenden Verfahrens entspricht in sehr geringem Ausmass einem Obsiegen und grösstenteils einem Unterliegen der Beschwerdeführerin, welche damit kostenpflichtig wird. Dementsprechend werden die Verfahrenskosten in Anwendung des Reglements vom 21. Februar 2008 über die Kosten und Entschädigungen vor dem Bundesverwaltungsgericht (VGKE, SR 173.320.2) auf Fr. 900.- festgesetzt. Der von der Beschwerdeführerin geleistete Kostenvorschuss von Fr. 1'000.- ist mit den reduzierten Verfahrenskosten von Fr. 900.- zu verrechnen und die Differenz von Fr. 100.- ist der Beschwerdeführerin nach Eintritt der Rechtskraft dieses Urteils auf ein von ihr bekannt zu gebendes Konto zurückzuerstatten. Einer (teilweise) unterliegenden Vorinstanz sind gemäss Art. 63 Abs. 2 VwVG keine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Dem teilweise obsiegenden Beschwerdeführer steht eine reduzierte Parteientschädigung für ihm erwachsene notwendige und verhältnismässig hohe Kosten zu (Art. 64 Abs. 1 VwVG und Art. 7 des Reglements vom 21. Februar 2008 über die Kosten und Entschädigungen vor dem Bundesverwaltungsgericht [VGKE, SR 173.320.2]). Mangels Kostennote ist die Entschädigung nach Ermessen, unter Berücksichtigung des gebotenen und aktenkundigen Aufwandes seines Rechtsvertreters festzusetzen (Art. 65 Abs. 5 VwVG in Verbindung mit Art. 14 Abs. 2 VGKE). Die dem teilweisen Obsiegen entsprechende reduzierte Parteientschädigung inklusive pauschalem Auslagenersatz wird daher auf Fr. 200.- festgesetzt (inkl. Auslagen und Mehrwertsteuer [vgl. Art. 9 Abs. 1 in Verbindung mit Art. 10 Abs. 2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