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C-4890/2008 vom 2. Juni 2009</w:t>
      </w:r>
    </w:p>
    <w:p>
      <w:r>
        <w:t>Bundesverwaltungsgericht, 2009-06-02, DE</w:t>
      </w:r>
    </w:p>
    <w:p>
      <w:r>
        <w:rPr>
          <w:b/>
        </w:rPr>
        <w:t xml:space="preserve">Quelle: </w:t>
      </w:r>
      <w:r>
        <w:t>https://mcp.opencaselaw.ch/entscheid/bvger_C-4890_2008</w:t>
      </w:r>
    </w:p>
    <w:p>
      <w:r>
        <w:t>FR: TAF C-4890/2008 du 2 juin 2009</w:t>
      </w:r>
    </w:p>
    <w:p>
      <w:r>
        <w:t>IT: TAF C-4890/2008 del 2 giugno 2009</w:t>
      </w:r>
    </w:p>
    <w:p>
      <w:pPr>
        <w:pStyle w:val="Heading2"/>
      </w:pPr>
      <w:r>
        <w:t>Regeste</w:t>
      </w:r>
    </w:p>
    <w:p>
      <w:r>
        <w:t>Sozialhilfe an Auslandschweizer</w:t>
      </w:r>
    </w:p>
    <w:p>
      <w:pPr>
        <w:pStyle w:val="Heading2"/>
      </w:pPr>
      <w:r>
        <w:t>Erwägungen</w:t>
      </w:r>
    </w:p>
    <w:p>
      <w:r>
        <w:rPr>
          <w:b/>
        </w:rPr>
        <w:t>E. 1.1</w:t>
      </w:r>
    </w:p>
    <w:p>
      <w:r>
        <w:t>Verfügungen des BJ gemäss Art. 14 Abs. 1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als Verfügungsbetroffene durch die angefochtene Verfügung besonders berührt und hat ein schutzwürdiges Interesse an deren Aufhebung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3.1</w:t>
      </w:r>
    </w:p>
    <w:p>
      <w:r>
        <w:t>Nach Art. 1 ASFG gewährt der Bund im Rahmen dieses Gesetzes Auslandschweizerinnen und Auslandschweizern, die sich in einer Notlage befinden, Fürsorgeleistungen.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nach Art. 6 ASFG in der Regel nicht unterstützt. Für die Beurteilung der Frage, welches Bürgerrecht überwiegt, gilt es vor allem auf die Umstände, die zum Erwerb des ausländischen Bürgerrechts geführt haben, und die Beziehungen zur Schweiz abzustellen (vgl. Art. 8 Abs. 1 der Verordnung vom 26. November 1973 über Fürsorgeleistungen an Auslandschweizer [ASFV, SR 852.11]).</w:t>
      </w:r>
    </w:p>
    <w:p>
      <w:r>
        <w:rPr>
          <w:b/>
        </w:rPr>
        <w:t>E. 4.1</w:t>
      </w:r>
    </w:p>
    <w:p>
      <w:r>
        <w:t>Die 57-jährige Beschwerdeführerin verfügt sowohl über die polnische als auch über die schweizerische Staatsbürgerschaft. Sie ist in Polen geboren, dort aufgewachsen und hat - wie auch ihre beiden Kinder (geb. 1975 und 1976) - immer in diesem Land gelebt. Schweizerische Staatsangehörige wurde sie im Jahre 1973 infolge Heirat. Gemäss ihren eigenen Angaben war sie bis jetzt noch nie in der Schweiz. Verwandte oder Freunde, mit denen sie regelmässige Kontakte pflegt, hat sie keine in der Schweiz. Auch zu ihrem hier lebenden Schwager bestehen - ausser dass sie dessen Adresse als Zustelldomizil für das vorliegende Verfahren angegeben hat - keine weiteren Kontakte. Sie selbst wusste offenbar erst von der Existenz dieses Schwagers, nachdem die Vorinstanz ihn ausfindig gemacht hatte. Eine Schweizer Landessprache spricht sie ebenfalls nicht. Bei dieser Sachlage ist das polnische Bürgerrecht klar vorherrschend, was von der Beschwerdeführerin denn auch nicht bestritten wird.</w:t>
      </w:r>
    </w:p>
    <w:p>
      <w:r>
        <w:rPr>
          <w:b/>
        </w:rPr>
        <w:t>E. 4.2</w:t>
      </w:r>
    </w:p>
    <w:p>
      <w:r>
        <w:t>Zu prüfen bleibt somit, ob Gründe vorliegen, um von der Regel gemäss Art. 6 ASFG abzuweichen. Der Wortlaut der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Die Rechtsprechung legt Art. 6 ASFG - auch in Berücksichtigung der Botschaft des Bundesrates vom 6. September 1972 zum Entwurf eines Bundesgesetzes über Fürsorgeleistungen an Auslandschweizer (BBl 1972 II S. 548 ff.) - dahingehend aus, Ausnahmetatbestände auf besonders krasse Fälle zu beschränken, bei denen es aufgrund der gesamten Umstände nicht zu verantworten wäre, eine hilfsbedürftige Person von der Unterstützung auszuschliessen (vgl. Verwaltungspraxis der Bundesbehörden [VPB] 57.25 E. 4.4). Zu denken ist namentlich an Konstellationen, in denen die physische Existenz der Betroffenen auf dem Spiel steht, die Möglichkeit, ein menschenwürdiges Leben zu führen, unmittelbar gefährdet erscheint oder wenn Auslandschweizerinnen und Auslandschweizer durch kriegerische Ereignisse in Not geraten. Eine auf eine gewisse Dauer angelegte Unterstützung vor Ort fällt sodann in Betracht, wenn minderjährige Kinder betroffen sind, sofern bei mindestens einem Elternteil das Schweizer Bürgerrecht vorherrscht (vgl. dazu die Richtlinien des Bundesamts für Justiz zum ASFG [gültig ab 1. Mai 2008] unter: www.bj.admin.ch/bj/de/home/themen/migration/sas/auslandschweizer_in.html). Voraussetzung der Ausrichtung materieller Hilfen bleibt dem Sinn und Zweck des ASFG entsprechend aber stets, dass sich das schweizerische Bürgerrecht nicht in einem blossen Formalismus erschöpft (vgl. Urteile des Bundesverwaltungsgerichts C-6323/2007 vom 28. Mai 2009 E. 4.2, C-714/2007 vom 28. Januar 2008 E. 4.2 und C-1271/2006 vom 24. Mai 2007 E. 5.2).</w:t>
      </w:r>
    </w:p>
    <w:p>
      <w:r>
        <w:rPr>
          <w:b/>
        </w:rPr>
        <w:t>E. 4.3</w:t>
      </w:r>
    </w:p>
    <w:p>
      <w:r>
        <w:t>Irgendwelche Beziehungen der Beschwerdeführerin zur Schweiz bestehen - wie oben ausgeführt - nicht (in Polen geboren und aufgewachsen, die Schweiz noch nie besucht; keine Verwandten und Bekannte, mit denen regelmässige Kontakte gepflegt werden; spricht keine Schweizer Landessprache). Mit der Schweiz ist sie, ausser der durch Heirat erworbenen Staatsangehörigkeit, überhaupt nicht verbunden, weshalb davon auszugehen ist, dass ihr schweizerisches Bürgerrecht nur der Form nach besteht. Eine Ausrichtung materieller Hilfe gestützt auf das ASFG ist schon aus diesem Grund nicht möglich.</w:t>
      </w:r>
    </w:p>
    <w:p>
      <w:r>
        <w:rPr>
          <w:b/>
        </w:rPr>
        <w:t>E. 4.4</w:t>
      </w:r>
    </w:p>
    <w:p>
      <w:r>
        <w:t>Der Vollständigkeit halber gilt es festzuhalten, dass vorliegend - unabhängig davon, ob sich das schweizerische Bürgerrecht der Beschwerdeführerin in einem blossen Formalismus erschöpft oder nicht - auch die besonderen Voraussetzungen für einen Ausnahmetatbestand, um von der Regel von Art. 6 ASFG abzuweichen, nicht gegeben sind. Die Beschwerdeführerin hat keine minderjährigen Kinder, für die sie zu sorgen hat. Ferner ist sie nicht durch kriegerische Ereignisse, Naturkatastrophen oder politische Wirrren in Not geraten. Zudem leidet sie auch nicht an einer schweren Behinderung oder sonst einer schweren Krankheit, für deren Pflege sie unbedingt auf entsprechende finanzielle Unterstützung angewiesen wäre. Ihre wirtschaftliche Lage präsentiert sich zwar nicht einfach und hat sich nach dem Tod des Ehemannes offenbar zugespitzt. Die geltend gemachten Schwierigkeiten, die in der Rechtsmitteleingabe nur sehr vage zum Ausdruck kommen, erreichen aber kein aussergewöhnliches, existenzbedrohendes Ausmass. Ausserdem besteht kein Grund für die Annahme, dass der Aufenthaltsstaat ihr die nötige Hilfe - sofern es die wirtschaftliche Lage der Beschwerdeführerin wirklich erfordert - nicht zukommen lassen würde. Schliesslich hält die mit den Verhältnissen vor Ort vertraute Schweizerische Botschaft in Warschau Hilfeleistungen im Sinne des ASFG ebenfalls nicht für angezeigt (vgl. die zu Handen der Vorinstanz abgegebene Stellungnahme der Schweizerischen Botschaft vom 27. März 2008).</w:t>
      </w:r>
    </w:p>
    <w:p>
      <w:r>
        <w:rPr>
          <w:b/>
        </w:rPr>
        <w:t>E. 5</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6</w:t>
      </w:r>
    </w:p>
    <w:p>
      <w:r>
        <w:t>Bei diesem Ausgang des Verfahrens würde die Beschwerdeführerin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