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C-4883/2023 vom 17. Juli 2023</w:t>
      </w:r>
    </w:p>
    <w:p>
      <w:r>
        <w:t>Bundesverwaltungsgericht, 2023-07-17, DE</w:t>
      </w:r>
    </w:p>
    <w:p>
      <w:r>
        <w:rPr>
          <w:b/>
        </w:rPr>
        <w:t xml:space="preserve">Quelle: </w:t>
      </w:r>
      <w:r>
        <w:t>https://mcp.opencaselaw.ch/entscheid/bvger_C-4883_2023_d20230717</w:t>
      </w:r>
    </w:p>
    <w:p>
      <w:r>
        <w:t>FR: TAF C-4883/2023 du 17 juillet 2023</w:t>
      </w:r>
    </w:p>
    <w:p>
      <w:r>
        <w:t>IT: TAF C-4883/2023 del 17 luglio 2023</w:t>
      </w:r>
    </w:p>
    <w:p>
      <w:pPr>
        <w:pStyle w:val="Heading2"/>
      </w:pPr>
      <w:r>
        <w:t>Regeste</w:t>
      </w:r>
    </w:p>
    <w:p>
      <w:r>
        <w:t>Lebensmittel und Gebrauchsgegenst&amp;auml;nde | Produktesicherheitsgesetz, Verkaufsverbot, Verfügung des SVGW vom 17. Juli 2023</w:t>
      </w:r>
    </w:p>
    <w:p>
      <w:pPr>
        <w:pStyle w:val="Heading2"/>
      </w:pPr>
      <w:r>
        <w:t>Erwägungen</w:t>
      </w:r>
    </w:p>
    <w:p>
      <w:r>
        <w:rPr>
          <w:b/>
        </w:rPr>
        <w:t>E. 1</w:t>
      </w:r>
    </w:p>
    <w:p>
      <w:r>
        <w:t>Juli 2024 verlängert worden ist (BVGer-act. 14), dass die Vorinstanz und die Beschwerdeführerin am 26. Juni 2024/1. Juli 2024 eine Vereinbarung getroffen haben und die Vorinstanz in der Folge am 24. Juni 2024 auf ihren Entscheid vom 17. Juli 2023 zurückgekommen ist und wiedererwägungsweise verfügt hat, die Verfügung vom 17. Juli 2023 werde aufgehoben (Dispositiv Ziff. 1); beim Produkt («X._______») seien bei den geprüften Aspekten keine Mängel gefunden worden, es ent- spreche den gesetzlichen Anforderungen und dürfe in Verkehr gebracht werden, womit das Verfahren abgeschlossen sei (Dispositiv Ziff. 2); auf die</w:t>
      </w:r>
    </w:p>
    <w:p>
      <w:r>
        <w:t>C-4883/2023 Seite 3 Erhebung einer Kontrollgebühr werde verzichtet (Dispositiv Ziff. 3; Beilage zu BVGer-act. 15), dass gemäss Art. 31 VGG das Bundesverwaltungsgericht Beschwerden gegen Verfügungen nach Art. 5 VwVG beurteilt, sofern keine Ausnahme nach Art. 32 VGG vorliegt, dass als Vorinstanzen die in Art. 33 VGG genannten Behörden gelten, zu welchen auch der SVGW gehört und als solcher zum Erlass von Verfügun- gen im Bereiche Marktüberwachung der Produktesicherheit zuständig ist (vgl. Art. 33 Bst. h VGG sowie Art. 9 und 10 des Bundesgesetzes über die Produktesicherheit vom 12. Juni 2009 [PrSG, SR 930.11] i.V.m. Art. 6 der Verordnung über die Sicherheit von Gasgeräten vom 17. Oktober 2017 [Gasgeräteverordnung, GaGV, SR 930.116]), Art. 19 Bst. c und g sowie Art. 20 der Verordnung vom 19. Mai 2010 über die Produktesicherheit [PrSV, SR 930.111], Art. 3 der Verordnung des WBF über den Vollzug der Markt- überwachung nach dem 5. Abschnitt der Verordnung über die Produktesi- cherheit [ZustV-PrSV, SR 930.111.5]), dass Verfügungen der Vorinstanz im Bereich der Marktüberwachung vor Bundesverwaltungsgericht anfechtbar sind (vgl. Art. 15 Abs. 2 PrSG), dass die Vorinstanz in Anwendung von Art. 58 VwVG ihren ursprünglichen Entscheid in Wiedererwägung ziehen kann, dass die Beschwerdeinstanz die Behandlung der Beschwerde fortzusetzen hat, soweit diese durch die neue Verfügung der Vorinstanz nicht gegen- standslos geworden ist (Art. 58 Abs. 3 VwVG), dass den Begehren der Beschwerdeführerin vollumfänglich entsprochen worden ist und das Beschwerdeverfahren daher im einzelrichterlichen Ver- fahren als durch Wiedererwägung gegenstandslos geworden abzuschrei- ben ist (Art. 23 Abs. 1 Bst. a VGG), dass die Verfahrenskosten mit Blick auf das Instruktions- und Sistierungs- verfahren auf Fr. 800.– festzusetzen sind, dass die Verfahrenskosten in der Regel jener Partei auferlegt werden, de- ren Verhalten die Gegenstandslosigkeit bewirkt hat (Art. 5 des Reglements vom 21. Februar 2008 über die Kosten und Entschädigungen vor dem Bun- desverwaltungsgericht [VGKE, SR 173.320.2]),</w:t>
      </w:r>
    </w:p>
    <w:p>
      <w:r>
        <w:t>C-4883/2023 Seite 4 dass vor dem Hintergrund der zwischen der Vorinstanz und der Beschwer- deführerin getroffenen Vereinbarung vom 26. Juni 2024/1. Juli 2024 die Gegenstandslosigkeit von beiden Verfahrensbeteiligten bewirkt worden ist, dass die Verfahrensbeteiligten sich in ihrer Vereinbarung vom 26. Juni 2024/1. Juli 2024 zudem darauf verständigt haben, die amtlichen Kosten des Bundesverwaltungsgerichts je zur Hälfte zu tragen, dass die Verfahrenskosten von Fr. 800.– dem von der Beschwerdeführerin geleisteten Kostenvorschuss von Fr. 5'000.– zu entnehmen und ihr der Restbetrag von Fr. 4'200.– nach Rechtskraft des vorliegenden Abschrei- bungsentscheids zurückzuerstatten ist, dass für die Kostentragung im Innenverhältnis die Vereinbarung vom 26. Juni 2024/1. Juli 2024 vorbehalten bleibt, dass die ausseramtlichen Kosten gemäss Vereinbarung vom 26. Juni 2024/1. Juli 2024 wettgeschlagen werden, dass demzufolge keine Parteientschädigung zuzusprechen ist.</w:t>
      </w:r>
    </w:p>
    <w:p>
      <w:r>
        <w:t>Für das Dispositiv wird auf die nächste Seite verwiesen.</w:t>
      </w:r>
    </w:p>
    <w:p>
      <w:r>
        <w:t>C-4883/2023 Seite 5</w:t>
      </w:r>
    </w:p>
    <w:p>
      <w:r>
        <w:rPr>
          <w:b/>
        </w:rPr>
        <w:t>E. 2</w:t>
      </w:r>
    </w:p>
    <w:p>
      <w:r>
        <w:t>Die Verfahrenskosten von Fr. 800.- werden dem von der Beschwerdeführerin geleisteten Kostenvorschuss entnommen. Der Restbetrag von Fr. 4'200.- wird der Beschwerdeführerin nach Eintritt der Rechtskraft des vorliegenden Abschreibungsentscheids zurückerstattet. Für die Kostentragung im Innenverhältnis bleibt die Vereinbarung vom 26. Juni 2024/1. Juli 2024 vorbehalten.</w:t>
      </w:r>
    </w:p>
    <w:p>
      <w:r>
        <w:rPr>
          <w:b/>
        </w:rPr>
        <w:t>E. 3</w:t>
      </w:r>
    </w:p>
    <w:p>
      <w:r>
        <w:t>Es wird keine Parteientschädigung zugesprochen.</w:t>
      </w:r>
    </w:p>
    <w:p>
      <w:r>
        <w:rPr>
          <w:b/>
        </w:rPr>
        <w:t>E. 4</w:t>
      </w:r>
    </w:p>
    <w:p>
      <w:r>
        <w:t>Dieser Entscheid geht an die Beschwerdeführerin, die Vorinstanz, das EVD und das SECO. Für die Rechtsmittelbelehrung wird auf die nächste Seite verwiesen. Der Einzelrichter: Die Gerichtsschreiberin: David Weiss Tania Sutter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