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C-4870/2010 vom 7. April 2011</w:t>
      </w:r>
    </w:p>
    <w:p>
      <w:r>
        <w:t>Bundesverwaltungsgericht, 2011-04-07, DE</w:t>
      </w:r>
    </w:p>
    <w:p>
      <w:r>
        <w:rPr>
          <w:b/>
        </w:rPr>
        <w:t xml:space="preserve">Quelle: </w:t>
      </w:r>
      <w:r>
        <w:t>https://mcp.opencaselaw.ch/entscheid/bvger_C-4870_2010</w:t>
      </w:r>
    </w:p>
    <w:p>
      <w:r>
        <w:t>FR: TAF C-4870/2010 du 7 avril 2011</w:t>
      </w:r>
    </w:p>
    <w:p>
      <w:r>
        <w:t>IT: TAF C-4870/2010 del 7 aprile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2A.451/2002 vom 28. März 2003, teilweise publiziert in BGE 129 II 215).</w:t>
      </w:r>
    </w:p>
    <w:p>
      <w:r>
        <w:rPr>
          <w:b/>
        </w:rPr>
        <w:t>E. 3.1</w:t>
      </w:r>
    </w:p>
    <w:p>
      <w:r>
        <w:t>Machte die Verordnung vom 27. Oktober 2004 über die Aus­stellung von Reisedokumenten für ausländische Personen (AS 2004 4577)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werden diesen beiden Personengruppen für Auslandreisen auf Gesuch hin eine Be­willigung zur Wiedereinreise und bei erwiesener Schriftenlosigkeit im Sinne von Art. 6 RDV zusätzlich ein Identitätsausweis ausgestellt.</w:t>
      </w:r>
    </w:p>
    <w:p>
      <w:r>
        <w:rPr>
          <w:b/>
        </w:rPr>
        <w:t>E. 3.2</w:t>
      </w:r>
    </w:p>
    <w:p>
      <w:r>
        <w:t>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4.1</w:t>
      </w:r>
    </w:p>
    <w:p>
      <w:r>
        <w:t>Vorliegend ist demnach vorab zu prüfen, ob die Vorinstanz hinsicht­lich des Beschwerdeführers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w:t>
      </w:r>
    </w:p>
    <w:p>
      <w:r>
        <w:rPr>
          <w:b/>
        </w:rPr>
        <w:t>E. 4.2</w:t>
      </w:r>
    </w:p>
    <w:p>
      <w:r>
        <w:t>Aus den Akten ergibt sich, dass der Beschwerdeführer zurzeit über kein gültiges heimatliches Reisepapier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und Art. 90 Bst. c AuG i.V.m. Art. 8 der Verordnung vom 24. Oktober 2007 über Zulassung, Aufenthalt und Erwerbstätigkeit [VZAE, SR 142.201]).</w:t>
      </w:r>
    </w:p>
    <w:p>
      <w:r>
        <w:rPr>
          <w:b/>
        </w:rPr>
        <w:t>E. 4.3</w:t>
      </w:r>
    </w:p>
    <w:p>
      <w:r>
        <w:t>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von Mai 2006 [ANAG-Weisungen], online zu finden unter: www.bfm.admin.ch, Dokumentation &gt; Rechtliche Grundlagen &gt; Weisungen und Kreisschreiben &gt; Archiv Weisungen und Kreisschreiben [ausser Kraft] &gt; Weisungen und Erläuterungen: Einreise, Aufenthalt und Arbeitsmarkt &gt; Weisungen).</w:t>
      </w:r>
    </w:p>
    <w:p>
      <w:r>
        <w:rPr>
          <w:b/>
        </w:rPr>
        <w:t>E. 4.4</w:t>
      </w:r>
    </w:p>
    <w:p>
      <w:r>
        <w:t>Daraus ist zu schliessen, dass von Personen, die - wie der Be­schwerdeführer - wegen Unzumutbarkeit des Wegweisungsvollzugs nach Art. 83 Abs. 1 i.V.m. Abs. 4 AuG vorläufig aufgenommen wurden, eine solche Kontaktaufnahme im Hinblick auf die Beschaffung von Reisedo­kumenten verlangt werden kann. Im Übrigen ist der Beschwerdeführer - gemäss eigenen Ausführungen - bereits bei der hiesigen irakischen Ver­tretung mit einem Gesuch um Ausstellung eines Reisepapieres vorstellig geworden. Er ist daher nicht als schriftenlos im Sinne von Art. 6 Abs. 1 Bst. a RDV zu betrachten.</w:t>
      </w:r>
    </w:p>
    <w:p>
      <w:r>
        <w:rPr>
          <w:b/>
        </w:rPr>
        <w:t>E. 4.5</w:t>
      </w:r>
    </w:p>
    <w:p>
      <w:r>
        <w:t>Der Beschwerdeführer führt hingegen aus, die irakische Botschaft sei nicht in der Lage, ihm ein Reisepapier auszustellen; dies mit der Begründung, aus technischen Gründen könnten bis auf Weiteres keine entsprechenden Anträge mehr entgegengenommen werden. Zwar ging die Vorinstanz nach Verschärfung der Lage im Irak im Jahre 2003 während längerer Zeit davon aus, dass sich Personen aus dem Zentral- oder dem Nordirak keine gültigen heimatlichen Reisedokumente mehr beschaffen könnten und deshalb grundsätzlich als schriftenlos zu betrachten seien (vgl. Kreisschreiben des Bundesamtes für Flüchtlinge (BFF) zu den Massnahmen im Asylbereich nach Verschärfung der Lage im Irak vom 18. August 2003 [Asyl 52.5.1]). Anfang 2005 ging die irakische Vertretung in der Schweiz als Folge des Wiederaufbaus der ad­ministrativen Strukturen im Irak jedoch dazu über, ihren hierzulande wohnhaften Staatsangehörigen - auf entsprechendes Gesuch hin - wieder heimatliche Reisepässe auszustellen. Neueren Abklärungen bei der irakischen Botschaft in Bern zufolge werden allerdings seit den Wahlen im Irak von März 2010 aufgrund der (damals) noch nicht erfolgten Regierungsbildung sowohl im Irak als auch in der Schweiz keine irakischen Pässe mehr ausgestellt. Technisch oder organisatorisch bedingte Verzögerungen bei der Passausstellung sind jedoch - wie die Vorinstanz in ihrer Verfügung zu Recht festgehalten hat - nicht geeignet, eine Unmöglichkeit im Sinne von Art. 6 Abs. 1 Bst. b RDV zu begründen (vgl. Urteile des Bundesverwaltungsgerichts C-8018/2008 vom 16. März 2011 E. 5.3. sowie C-5315/2010 vom 7. Januar 2011 E. 5.3.). Würde die Schweiz in einer solchen Situation auf breiter Basis von Schriftenlosigkeit ausgehen, wäre sie regelmässig gehalten, in die Passhoheit - und damit in die Souveränität anderer Staaten - einzugreifen. Die geltende RDV führt denn auch explizit aus, dass Verzögerungen, die bei der Ausstellung eines Reisedokuments bei den zuständigen Behörden des Heimat- oder Herkunftsstaates entstehen, keine Schriftenlosigkeit begründen würden (vgl. Art. 6 Abs. 2 RDV).</w:t>
      </w:r>
    </w:p>
    <w:p>
      <w:r>
        <w:rPr>
          <w:b/>
        </w:rPr>
        <w:t>E. 4.6</w:t>
      </w:r>
    </w:p>
    <w:p>
      <w:r>
        <w:t>Vor diesem Hintergrund kann auch nicht beanstandet werden, dass die irakische Botschaft (vorerst) keine zeitlichen Angaben zur Entgegennahme von Anträgen zur Ausstellung eines Reisepapiers gemacht hat. Mit der Anerkennung der (objektiven) Unmöglichkeit als eine der Voraussetzungen für die Annahme der Schriftenlosigkeit soll lediglich vermieden werden, dass eine Person an Auslandreisen gehindert wird, wenn sich die heimatlichen Behörden ohne hinreichenden Grund - und damit willkürlich - weigern, ein Reisepapier auszustellen (vgl. das Urteil des Bundesverwaltungsgerichts C-1217/2009 vom 12. Juni 2009 E. 4.3.5). Mit der nunmehr gelungenen Regierungsbildung im Irak Ende Dezember des vergangenen Jahres dürfte sich die Situation - wenn auch nicht sofort - mit der Zeit doch ändern. Kommt hinzu, dass der Beschwerdeführer bereits über die für die Passbeantragung erforderlichen irakischen Dokumente (Nationalitätenausweis ["Shahadit Al-Jensie"], Identitätskarte ["Hawitt Al-Ahwal Al-Medanie"]) sowie zusätzlich über einen (alten) irakischen Reisepass verfügt. Diese Dokumente dürften die Ausstellung eines irakischen Reisepasses zu gegebener Zeit wesentlich beschleunigen.</w:t>
      </w:r>
    </w:p>
    <w:p>
      <w:r>
        <w:rPr>
          <w:b/>
        </w:rPr>
        <w:t>E. 4.7</w:t>
      </w:r>
    </w:p>
    <w:p>
      <w:r>
        <w:t>Nach dem Gesagten erweist sich die Beschaffung eines irakischen Reisedokuments demnach nicht als objektiv unmöglich im Sinne von Art. 6 Abs. 1 Bst. b RDV. Der Beschwerdeführer ist folglich nicht als schriftenlos im Sinne von Art. 6 Abs. 1 RDV zu betrachten. Ausgehend von dieser Sach- und Rechtslage (vgl. E. 3.1. oben) kann auch der Grund der Reise - in casu ein Wiedersehen mit Familienangehörigen in Syrien - keine ausschlaggebende Rolle mehr spielen. Eine Auseinandersetzung mit den diesbezüglichen Ausführungen erübrigt sich somit.</w:t>
      </w:r>
    </w:p>
    <w:p>
      <w:r>
        <w:rPr>
          <w:b/>
        </w:rPr>
        <w:t>E. 5</w:t>
      </w:r>
    </w:p>
    <w:p>
      <w:r>
        <w:t>Aus diesen Darlegungen folgt, dass die Vorinstanz zu Recht die Schriftenlosigkeit des Beschwerdeführers verneint und die Ausstellung eines Identitätsausweises mit Bewilligung zur Wiedereinreise verweigert hat. Die angefochtene Verfügung erweist sich somit im Lichte von Art. 49 VwVG als rechtmässig und die Beschwerde ist demzufolge abzuweisen.</w:t>
      </w:r>
    </w:p>
    <w:p>
      <w:r>
        <w:rPr>
          <w:b/>
        </w:rPr>
        <w:t>E. 6</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