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C-4853/2017 vom 18. Oktober 2017</w:t>
      </w:r>
    </w:p>
    <w:p>
      <w:r>
        <w:t>Bundesverwaltungsgericht, 2017-10-18, DE</w:t>
      </w:r>
    </w:p>
    <w:p>
      <w:r>
        <w:rPr>
          <w:b/>
        </w:rPr>
        <w:t xml:space="preserve">Quelle: </w:t>
      </w:r>
      <w:r>
        <w:t>https://mcp.opencaselaw.ch/entscheid/bvger_C-4853_2017</w:t>
      </w:r>
    </w:p>
    <w:p>
      <w:r>
        <w:t>FR: TAF C-4853/2017 du 18 octobre 2017</w:t>
      </w:r>
    </w:p>
    <w:p>
      <w:r>
        <w:t>IT: TAF C-4853/2017 del 18 ottobre 2017</w:t>
      </w:r>
    </w:p>
    <w:p>
      <w:pPr>
        <w:pStyle w:val="Heading2"/>
      </w:pPr>
      <w:r>
        <w:t>Regeste</w:t>
      </w:r>
    </w:p>
    <w:p>
      <w:r>
        <w:t>Rente</w:t>
      </w:r>
    </w:p>
    <w:p>
      <w:pPr>
        <w:pStyle w:val="Heading2"/>
      </w:pPr>
      <w:r>
        <w:t>Erwägungen</w:t>
      </w:r>
    </w:p>
    <w:p>
      <w:r>
        <w:rPr>
          <w:b/>
        </w:rPr>
        <w:t>E. 1.1</w:t>
      </w:r>
    </w:p>
    <w:p>
      <w:r>
        <w:t>Das Bundesgericht hat das Urteil des Bundesverwaltungsgerichts C-2375/2015 vom 14. September 2016 aufgehoben und die Sache zu neuer Entscheidung an dieses zurückgewiesen. Dieses nimmt die Streitsache ohne Weiteres wieder auf; sämtliche Eintretensvoraussetzungen (vgl. Art. 44 ff. VwVG) liegen weiterhin vor. Auf die Beschwerde ist - vorbehältlich der Rüge der fehlerhaften Zustellung des Einspracheentscheids (vgl. dazu nachfolgende E. 1.2) - einzutreten.</w:t>
      </w:r>
    </w:p>
    <w:p>
      <w:r>
        <w:rPr>
          <w:b/>
        </w:rPr>
        <w:t>E. 1.2</w:t>
      </w:r>
    </w:p>
    <w:p>
      <w:r>
        <w:t>Soweit der Beschwerdeführer eine fehlerhafte Zustellung an die Adresse in K._______ (...) rügt, ist festzuhalten, dass er die Beschwerde rechtzeitig eingereicht hat, sodass auf diese Rüge bereits mangels Beschwer nicht einzutreten ist, da er an der Prüfung dieser Rüge kein aktuelles und praktisches Rechtschutzinteresse hat (Vera Marantelli/Said Huber, Praxiskommentar VwVG, 2. Aufl. 2016, Art. 48 NN. 15 f.). Im Übrigen ist darauf hinzuweisen, dass eine direkte postalische Zustellung - mangels entsprechender zwischenstaatlicher Vereinbarung -nach Russland nicht zulässig ist (vgl. dazu die Liste des Bundesamtes für Sozialversicherungen [BSV], Stand 1. Januar 2016; http://www.bsv.admin.ch &gt; Themen &gt; Internationales &gt; Grundlagen &gt; Abkommen mit einzelnen Staaten, abgerufen am 04.09.2017).</w:t>
      </w:r>
    </w:p>
    <w:p>
      <w:r>
        <w:rPr>
          <w:b/>
        </w:rPr>
        <w:t>E. 1.3</w:t>
      </w:r>
    </w:p>
    <w:p>
      <w:r>
        <w:t>Die Behörde, an welche die Sache zurückgewiesen wird, ebenso wie das Gericht selbst, falls die Sache erneut ihm unterbreitet wird, ist an die rechtlichen Erwägungen im Rückweisungsentscheid gebunden (statt vieler: BGE 133 III 201 E. 4.2; Ulrich Meyer/Johanna Dormann, in Basler Kommentar, Bundesgerichtsgesetz, 2. Aufl. 2011, Art. 107 BGG N. 18 mit Hinweisen). Wegen dieser Bindung des Gerichts ist es ihm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Eine Überprüfung ist nur hinsichtlich jener Punkte möglich, die im Rückweisungsentscheid nicht entschieden worden sind oder bei Vorliegen neuer Sachumstände (vgl. BGE 135 III 334 E. 2; 131 III 91 E. 5.2).</w:t>
      </w:r>
    </w:p>
    <w:p>
      <w:r>
        <w:rPr>
          <w:b/>
        </w:rPr>
        <w:t>E. 2.1</w:t>
      </w:r>
    </w:p>
    <w:p>
      <w:r>
        <w:t>Die Verfügung als Anfechtungsgegenstand bildet nicht nur den Aus-gangspunkt, sondern zugleich den Rahmen und die Begrenzung des Streitgegenstandes im Beschwerdeverfahren. Streitgegenstand kann mit-hin - im Rahmen der Parteianträge - nur das in der Verfügung geregelte Rechtsverhältnis sein. Rechtsbegehren, die ausserhalb der in der Verfügung geregelten Rechtsverhältnisse liegen, sind grundsätzlich unzulässig. Gegenstand des Beschwerdeverfahrens kann nur sein, was Gegenstand des erstinstanzlichen Verfahrens war oder nach richtiger Gesetzesauslegung hätte sein sollen. Fragen, über welche die erstinstanzlich verfügende Behörde nicht entschieden hat, darf die zweite Instanz nicht beurteilen; sonst würde in die funktionelle Zuständigkeit der ersten Instanz eingegriffen. Auf einen Antrag, der über das hinausgeht, was von der Vorinstanz entschieden wurde, oder der mit dem Gegenstand der angefochtenen Verfügung nichts zu tun hat, ist nicht einzutreten. Nur ausnahmsweise können Antragsänderungen und -erweiterungen, die im Zusammenhang mit dem Streitgegenstand stehen, aus prozessökonomischen Gründen zugelassen werden. Voraussetzung dafür ist, dass einerseits ein sehr enger Bezug zum bisherigen Streitgegenstand besteht und anderseits die Verwaltung im Laufe des Verfahrens Gelegenheit hatte, sich zu dieser neuen Streitfrage zu äussern (vgl. u.a. Fritz Gygi, Bundesverwaltungsrechtspflege 2. Aufl. 1983, S. 46; René Rhinow/Heinrich Koller/Christina Kiss/Daniela Thurnherr/Denise Brühl-Moser, Öffentliches Prozessrecht, 2. Aufl. 2010 Rz. 988 ff., Moser/Beusch/Kneubühler, Prozessieren vor Bundesverwaltungsgericht, 2. Aufl. 2013, S. 29 f. Rz. 2.7 f. und S. 118 f. Rz. 2.208 ff., je mit weiteren Hinweisen; Urteile des BVGer A-3113/2013 vom 16. April 2014 E. 1.2.2 und A-3763/2011 vom 3. Juli 2012 E. 1.4.1). Überdies können Begehren einer Beschwerde nach Ablauf der Beschwerdefrist nicht mehr erweitert, sondern höchstens präzisiert, eingeengt oder fallengelassen werden (Moser/Beusch/Kneubühler, a.a.O., S. 123 Rz. 2.218).</w:t>
      </w:r>
    </w:p>
    <w:p>
      <w:r>
        <w:rPr>
          <w:b/>
        </w:rPr>
        <w:t>E. 2.2</w:t>
      </w:r>
    </w:p>
    <w:p>
      <w:r>
        <w:t>Mit Eingabe vom 22. September 2015 hat der Beschwerdeführer erstmals beantragt, es sei eine Neuberechnung der Rente unter Einbezug des in der Rentenanmeldung vom 10. Februar 2011 gestellten einjährigen Rentenaufschubes vorzunehmen (BVGer act. 18 samt Beilage 7). Mit Eingabe vom 20. März 2016 hat der Beschwerdeführer diesen Antrag nach entsprechender Rechtsbelehrung durch die Vorinstanz zurückgezogen (BVGer act. 33). Weitere Ausführungen hierzu erübrigen sich dementsprechend.</w:t>
      </w:r>
    </w:p>
    <w:p>
      <w:r>
        <w:rPr>
          <w:b/>
        </w:rPr>
        <w:t>E. 3.1</w:t>
      </w:r>
    </w:p>
    <w:p>
      <w:r>
        <w:t>Nach der Rechtsprechung stellt das Sozialversicherungsgericht bei der Beurteilung einer Streitsache in der Regel auf den bis zum Zeitpunkt des Erlasses des streitigen Einspracheentscheids (hier: 6. März 2015) eingetretenen Sachverhalt ab (BGE 131 V 242 E. 2.1, BGE 130 V 329, 129 V 1 E. 1.2, je mit Hinweisen).</w:t>
      </w:r>
    </w:p>
    <w:p>
      <w:r>
        <w:rPr>
          <w:b/>
        </w:rPr>
        <w:t>E. 3.2</w:t>
      </w:r>
    </w:p>
    <w:p>
      <w:r>
        <w:t>In zeitlicher Hinsicht sind grundsätzlich diejenigen materiell-rechtlichen Rechtssätze massgebend, die bei der Erfüllung des zu Rechtsfolgen führenden Tatbestandes Geltung haben. Nachdem zwischen den beteiligten Staaten keine staatsvertragliche Vereinbarung für den Bereich der Sozialversicherungen besteht (vgl. dazu auch Urteil des BVGer C-5384/2011 E. 4.5), sind die Bestimmungen des AHVG und des AHVV nach den im Zeitpunkt des Erlasses des angefochtenen Entscheids in Kraft stehenden Fassungen anwendbar.</w:t>
      </w:r>
    </w:p>
    <w:p>
      <w:r>
        <w:rPr>
          <w:b/>
        </w:rPr>
        <w:t>E. 3.3</w:t>
      </w:r>
    </w:p>
    <w:p>
      <w:r>
        <w:t>Das Bundesverwaltungsgericht prüft die Verletzung von Bundesrecht einschliesslich der Überschreitung oder des Missbrauchs des Ermessens, die unrichtige oder unvollständige Feststellung des rechtserheblichen Sachverhalts und die Unangemessenheit (Art. 49 VwVG; vgl. Benjamin Schindler in: Auer/Müller/Schindler [Hrsg.], Kommentar zum Bundesgesetz über das Verwaltungsverfahren, 2008, Art. 49 N. 1 ff.).</w:t>
      </w:r>
    </w:p>
    <w:p>
      <w:r>
        <w:rPr>
          <w:b/>
        </w:rPr>
        <w:t>E. 4</w:t>
      </w:r>
    </w:p>
    <w:p>
      <w:r>
        <w:t>Das Bundesverwaltungsgericht hat die Berechnung der AHV-Altersrente des Beschwerdeführers bereits geprüft und die damalige Beschwerde des Beschwerdeführers mit Urteil C-5384/2011 vom 16. Dezember 2013 in dem Sinne gutgeheissen, dass es den angefochtenen Einspracheentscheid vom 2. September 2011 aufgehoben und die Sache im Sinne der Erwägungen an die Vorinstanz zurückgewiesen hat. Zu klären ist deshalb vorab, ob der erneuten Prüfung der massgeblichen Dauer des schweizerischen Wohnsitzes des Beschwerdeführers die Rechtskraft des genannten Urteils entgegensteht.</w:t>
      </w:r>
    </w:p>
    <w:p>
      <w:r>
        <w:rPr>
          <w:b/>
        </w:rPr>
        <w:t>E. 4.1</w:t>
      </w:r>
    </w:p>
    <w:p>
      <w:r>
        <w:t>Der Beschwerdeführer beantragt im vorliegenden Beschwerdeverfahren insbesondere die zusätzliche Berücksichtigung von Erziehungsgutschriften für die Jahre 2002 und 2003 mit der Begründung, er und sein Sohn G._______ seien in diesen Jahren an der (...) in K._______ wohnhaft gewesen (BVGer act. 1, 9, 11 und 13). Dagegen wendet die Vorinstanz ein, das Bundesverwaltungsgericht habe in seinem Urteil vom 16. Dezember 2013 den Wohnsitz des Beschwerdeführers ab seiner Geburt (1938) bis 1997 als erstellt betrachtet. Der Wohnsitz des Beschwerdeführers sei ein Hauptgegenstand des damaligen Beschwerdeverfahrens gewesen. Durch das genannte Urteil des Bundesverwaltungsgerichts seien die Wohnsitzdauer und der Zeitraum der obligatorischen Versicherung bereits rechtsverbindlich abgeklärt worden. Nachdem dieses Urteil in Rechtskraft erwachsen sei, könne die Angelegenheit nun nicht mehr erneut geprüft werden, da ein gesetzlicher Revisionsgrund nicht vorliege (BVGer act. 3 und 15).</w:t>
      </w:r>
    </w:p>
    <w:p>
      <w:r>
        <w:rPr>
          <w:b/>
        </w:rPr>
        <w:t>E. 4.2</w:t>
      </w:r>
    </w:p>
    <w:p>
      <w:r>
        <w:t>Erziehungsgutschriften werden Versicherten für diejenigen Jahre angerechnet, in welchen ihnen die elterliche Sorge für eines oder mehrere Kinder zusteht, die das 16. Altersjahr noch nicht erreicht haben (Art. 29sexies Abs. 1 Satz 1 AHVG). Dabei werden Eltern, die gemeinsam Inhaber der elterlichen Sorge sind, jedoch nicht zwei Gutschriften kumulativ gewährt (Art. 29sexies Abs. 1 Satz 1 AHVG). Erziehungsgutschriften werden für jene Zeitabschnitte angerechnet, während denen die Eltern oder ein Elternteil Kinder hatten und im Sinne von Art. 1a Abs. 1 und Abs. 3 oder Art. 2 AHVG versichert waren. Nicht erforderlich ist, dass eine in diesen Zeitabschnitt fallende Beitragspflicht durch die Eltern respektive den Elternteil auch erfüllt wurde (vgl. dazu auch Rz. 5407 RWL). Anknüpfungspunkt für die Anrechnung von Erziehungsgutschriften bildet die elterliche Sorge im Sinne von Art. 133 Abs. 1 Ziff. 1, Art. 134 und Art. 296 - 298d ZGB.</w:t>
      </w:r>
    </w:p>
    <w:p>
      <w:r>
        <w:rPr>
          <w:b/>
        </w:rPr>
        <w:t>E. 4.3.1</w:t>
      </w:r>
    </w:p>
    <w:p>
      <w:r>
        <w:t>Kann ein Entscheid nicht mehr mit einem ordentlichen Rechtsmittel angefochten werden - sei es, dass auf die Ergreifung eines ordentlichen Rechtsmittels explizit verzichtet respektive ein solches zurückgezogen wurde, sei es, dass die Rechtsmittelfrist ungenutzt abgelaufen oder der Entscheid letztinstanzlich ist - erwächst er in formelle Rechtskraft (Pierre Tschannen/Ulrich Zimmerli/Markus Müller, Allgemeines Verwaltungsrecht, 4. Aufl. 2014, § 31 Rz. 5 ff.; Jacques Dubey/Jean-Baptiste Zufferey, Droit administratif général, 2014, N. 979 f.). Ein formell rechtskräftiger Beschwerdeentscheid kann nur (aber immerhin) durch das ausserordentliche Rechtsmittel der Revision geändert werden (vgl. dazuMoser/Beusch/Kneubühler, a.a.O., S. 303 ff.).</w:t>
      </w:r>
    </w:p>
    <w:p>
      <w:r>
        <w:rPr>
          <w:b/>
        </w:rPr>
        <w:t>E. 4.3.2</w:t>
      </w:r>
    </w:p>
    <w:p>
      <w:r>
        <w:t>Unter materieller Rechtskraft wird die Massgeblichkeit eines formell rechtskräftigen Urteils in jedem späteren Verfahren unter denselben Parteien verstanden (vgl. BGE 139 III 126 E. 3.1). Eine abgeurteilte Sache, bzw. eine sog. "res iudicata" liegt vor, wenn der streitige Anspruch mit einem schon rechtskräftig beurteilten identisch ist. Dies trifft zu, falls der Anspruch dem Richter aus demselben Rechtsgrund und gestützt auf denselben Sachverhalt erneut zur Beurteilung unterbreitet wird (BGE 125 III 241 E. 1 mit Verweis auf BGE 119 II 89 E. 2a, BGE 121 III 474 E. 4a und BGE 123 III 16 E. 2a). In anspruchsbezogene materielle Rechtskraft erwächst demzufolge allein das Sachurteil. Ein solches liegt nur dann vor, wenn und soweit das Gericht die Sachverhaltsvorbringen der Parteien materiell-rechtlich würdigt, das heisst, den geltend gemachten Anspruch inhaltlich beurteilt. Die Rechtskraftwirkung tritt nur soweit ein, als über den geltend gemachten Anspruch entschieden worden ist. Zwar erwächst der Entscheid nur in jener Form in Rechtskraft, wie er im Urteilsdispositiv zum Ausdruck kommt, doch ergibt sich dessen Tragweite vielfach erst aus den Urteilserwägungen. Im Übrigen haben die tatsächlichen Feststellungen und die rechtlichen Erwägungen eines Entscheides aber in einer anderen Streitsache keine bindende Wirkung. Die materielle Rechtskraft der Entscheidung wird objektiv begrenzt durch den Streitgegenstand (BGE 123 III 16 E. 2a; BGE 121 III 474 E. 4a).</w:t>
      </w:r>
    </w:p>
    <w:p>
      <w:r>
        <w:rPr>
          <w:b/>
        </w:rPr>
        <w:t>E. 4.3.3</w:t>
      </w:r>
    </w:p>
    <w:p>
      <w:r>
        <w:t>Nach der Rechtsprechung wird grundsätzlich nur das Dispositiv eines Urteils rechtsverbindlich und begrenzt gegebenenfalls den Streitgegenstand. Dabei genügt es indes, wenn das Dispositiv ausdrücklich auf die Erwägungen des Entscheids verweist. Die Erwägungen werden dann Bestandteil des Dispositivs und nehmen, soweit sie zum Streitgegenstand gehören, an seiner formellen Rechtskraft teil (Philippe Weissenberger/Astrid Hirzel, Praxiskommentar VwVG, Art. 61 N. 43). Auch die Erwägungen in einem gerichtlichen Rückweisungsentscheid, auf die im Dispositiv verwiesen wird, nehmen bei Nichtanfechtung an der formellen Rechtskraft des Entscheids teil und sind für die Behörde, an die zurückgewiesen wird, grundsätzlich verbindlich. Gleiches gilt auch für die Instanz, die den Rückweisungsentscheid gefällt hat, falls die Sache an diese erneut weiter gezogen wird (BGE 135 III 334 E. 2 S. 335; Urteil des BGer 8C_680/2015 vom 14. Dezember 2015 E. 4.1). Bei einem unklaren Wortlaut ist der Entscheid nach seinem tatsächlichen Bedeutungsgehalt zu verstehen (BGE 132 V 74 E. 2).</w:t>
      </w:r>
    </w:p>
    <w:p>
      <w:r>
        <w:rPr>
          <w:b/>
        </w:rPr>
        <w:t>E. 4.3.4</w:t>
      </w:r>
    </w:p>
    <w:p>
      <w:r>
        <w:t>Ein mit verbindlichen Weisungen versehener Rückweisungsentscheid (vgl. Art. 61 Abs. 1 VwVG) schliesst das Verfahren bezüglich der in den Erwägungen definitiv behandelten Punkte ab. Wenn der unteren Instanz, an welche die Sache zurückgewiesen wird, kein Entscheidungsspielraum mehr bleibt und die Rückweisung nur noch der Umsetzung des oberinstanzlich Angeordneten dient, handelt es sich - in Bezug auf die definitiv entschiedenen Punkte - um einen Endentscheid, der - wo noch ein Rechtsmittel offen steht - vor der nächsthöheren Instanz anfechtbar ist (BGE 134 II 124 E. 1.3; Urteil des BGer 2C_258/2008 vom 27. März 2009 E. 3.3; Moser/Beusch/Kneubühler, a.a.O., Rz. 3.196; zum Ganzen: Urteil des BVGer A-7745/2010 vom 9. Juni 2011 E. 1.2.1). Die rechtliche Beurteilung, mit der die Zurückweisung begründet wird, muss der neuen Entscheidung zugrunde gelegt werden (Urteil des Bundesgerichts 4C.46/2007 vom 17. April 2007 E. 3.1 mit Hinweisen; BGE 122 I 250 E. 2, 116 II 220 E. 4a; Moser/Beusch/Kneubühler, a.a.O., Rz. 3.196). Eine freie Überprüfung durch das ein zweites Mal angerufene Gericht ist nur noch möglich betreffend jener Punkte, die im Rückweisungsentscheid nicht entschieden wurden oder bei Vorliegen neuer Sachumstände (vgl. statt vieler: Urteile des BVGer A-5311/2015 vom 28. Oktober 2015 E. 1.2 m.w.H., A-1165/2011 vom 20. September 2012 E. 1.2 m.w.H.).</w:t>
      </w:r>
    </w:p>
    <w:p>
      <w:r>
        <w:rPr>
          <w:b/>
        </w:rPr>
        <w:t>E. 4.4</w:t>
      </w:r>
    </w:p>
    <w:p>
      <w:r>
        <w:t>Vorliegend hat Bundesverwaltungsgericht in seinem Urteil vom 16. Dezember 2013 in für die Vorinstanz und auch das Gericht grundsätzlich verbindlicher Weise festgehalten, dass sich der Wohnsitz des Beschwerdeführers in der Zeit von 1938 bis 1997 dauerhaft in der Schweiz befunden habe (E. 3.2). Die Frage der Unterstellungsdauer des Beschwerdeführers unter die schweizerische AHV wurde demnach bereits in diesem Entscheid rechtsverbindlich abgeklärt. Gegenstand des damaligen Beschwerdeverfahrens war zudem auch die Anrechnung von Erziehungsgutschriften. Dabei kam das Bundesverwaltungsgericht zum Schluss, dass die Vorinstanz dem Beschwerdeführer für die 1971 und 1976 geborenen Kinder bis zu deren 16. Altersjahr Erziehungsgutschriften anzurechnen und in der neu zu erlassenden Verfügung zu berücksichtigen habe (vgl. Urteil C-5384/2011 S. 3 f. [Sachverhalt, Bst. E] und S. 19 [E. 6.2]). Damit steht fest, dass das Bundesverwaltungsgericht zur Frage, ob und gegebenenfalls in welchem Umfang dem Beschwerdeführer Erziehungsgutschriften anzurechnen seien, bereits abschliessend und verbindlich Stellung bezogen hat. Die entsprechenden Erwägungen nehmen - aufgrund des expliziten Verweises im Dispositiv - an der Rechtskraft teil, und es können grundsätzlich keine weiteren Erziehungsgutschriften berücksichtigt werden, es sei denn, die Voraussetzungen der prozessualen Revision wären im konkreten Fall erfüllt; denn die Rechtskraftwirkung - und damit Verbindlichkeit - des Rückweisungsentscheides steht immer unter dem Vorbehalt, dass sich nicht aus dem Rückweisungsverfahren neue Tatsachen oder Beweismittel im Sinne der prozessualen Revision (vgl. dazu nachfolgende E. 5) ergeben, welche dessen sachverhaltliche Grundlage erschüttern (Urteile des BGer 8C_680/2015 E. 4.3.3 und 8C_454/2013 vom 24. September 2013 E. 6.1).</w:t>
      </w:r>
    </w:p>
    <w:p>
      <w:r>
        <w:rPr>
          <w:b/>
        </w:rPr>
        <w:t>E. 4.5</w:t>
      </w:r>
    </w:p>
    <w:p>
      <w:r>
        <w:t>Entsprechend den Ausführungen des Bundesgerichts im genannten Urteil 9C_726/2016 (E. 2.2) hat das Bundesverwaltungsgericht die Eingabe des Beschwerdeführers vom 22. März 2016 (BVGer act. 35 samt Beilagen) zu berücksichtigen. Zu prüfen ist dementsprechend, ob diese Eingabe Anlass bietet, von der vorstehend dargelegten Rechtslage abzuweichen.</w:t>
      </w:r>
    </w:p>
    <w:p>
      <w:r>
        <w:rPr>
          <w:b/>
        </w:rPr>
        <w:t>E. 4.5.1</w:t>
      </w:r>
    </w:p>
    <w:p>
      <w:r>
        <w:t>Soweit der Beschwerdeführer in der unaufgeforderten Eingabe vom 20. März 2016 (BVGer act. 33) seinen Antrag auf Rentenaufschub zurückgezogen hat, erübrigen sich weitere Ausführungen (vgl. dazu E. 2.2 hievor).</w:t>
      </w:r>
    </w:p>
    <w:p>
      <w:r>
        <w:rPr>
          <w:b/>
        </w:rPr>
        <w:t>E. 4.5.2</w:t>
      </w:r>
    </w:p>
    <w:p>
      <w:r>
        <w:t>Soweit der Beschwerdeführer in seiner Eingabe vom 20. März 2016 die (bereits mit Eingabe vom 28. Januar 2016 eingereichte; BVGer act. 27 samt Beilage) Bescheinigung des russischen Konsulates vom 25. Januar 2016 erneut ins Recht gelegt hat, ergeben sich daraus keine neuen Erkenntnisse. Gleiches gilt auch für die sinngemässe Argumentation des Beschwerdeführers, die Vorinstanz habe sich dazu nicht vernehmen lassen.</w:t>
      </w:r>
    </w:p>
    <w:p>
      <w:r>
        <w:rPr>
          <w:b/>
        </w:rPr>
        <w:t>E. 4.6</w:t>
      </w:r>
    </w:p>
    <w:p>
      <w:r>
        <w:t>Nicht von der Rechtskraft des Urteils vom 16. Dezember 2013 erfasst ist indes die Beurteilung der Frage, ob im Jahr 1966 allenfalls AHV-Einkommensbestandteile betreffend die Anstellung bei der nicht berücksichtigt worden sind. Insoweit ist der Einwand des Beschwerdeführers, es seien fälschlicherweise Fr. 4'800.- im IK-Auszug nicht berücksichtigt worden, zu prüfen. In der unaufgeforderten Eingabe vom 22. März 2016 (BVGer act. 35 samt Beilagen) hat der Beschwerdeführer diesbezüglich argumentiert, mit dem Bankbeleg sei der Nachweis erbracht, dass die vom 1. April bis 30. September 1966 befristete Anstellung auch tatsächlich realisiert worden sei.</w:t>
      </w:r>
    </w:p>
    <w:p>
      <w:r>
        <w:rPr>
          <w:b/>
        </w:rPr>
        <w:t>E. 4.6.1</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den Versicherten insofern erhöhte Mitwirkungspflichten treffen, als dass er alles ihm Zumutbare unternehmen muss, um die Verwaltung oder den Richter bei der Beschaffung des Beweismaterials zu unterstützen (vgl. BGE 117 V 261 E. 3b und 3d). Die Beweiskraft der IK-Eintragungen, welche vor Eintritt des Versicherungsfalles unangefochten waren, entspricht derjenigen eines öffentlichen Registers (vgl. Art. 9 ZGB; Ueli Kieser, Rechtsprechung des Bundesgerichts zum AHVG, 3. Aufl., 2012, Art. 30ter N. 1 mit Hinweis auf ZAK 1969 72 f. E. 2; AHI-Praxis 2002 S. 240). Daraus folgt, dass die unangefochten gebliebenen IK-Auszüge und die darin enthaltenen IK-Eintragungen für die durch sie bezeugten Tatsachen den vollen Beweis erbringen, solange nicht die Unrichtigkeit ihres Inhaltes nachgewiesen ist (vgl. Art. 9 Abs. 1 ZGB).</w:t>
      </w:r>
    </w:p>
    <w:p>
      <w:r>
        <w:rPr>
          <w:b/>
        </w:rPr>
        <w:t>E. 4.6.2</w:t>
      </w:r>
    </w:p>
    <w:p>
      <w:r>
        <w:t>Mit Blick auf die vorstehend dargelegte Rechtsprechung vermag der Beschwerdeführer den Nachweis für die Unrichtigkeit des IK-Auszuges aus folgenden Gründen nicht zu erbringen. Zunächst geht aus dem Beleg nicht hervor, dass es sich bei der Zahlung effektiv um eine Lohnüberweisung der für die genannte Zeit gehandelt haben soll. Überdies trifft auch die Argumentation des Beschwerdeführers nicht zu, dass es sich beim genannten Betrag um den Nettobetrag handle, der nach Abzug von 4 % vom Bruttobetrag von Fr. 800.- resultiere; bei einem Beitragssatz von 4 % würde nicht der im Bankbeleg ausgewiesene Betrag von Fr. 780.60, sondern ein Nettobetrag von Fr. 768.- (= 96 % von Fr. 800.-) resultieren. Die Vorinstanz hat diesbezüglich weitere Abklärungen durchgeführt, welche den Schluss auf eine Unvollständigkeit respektive Unrichtigkeit des IK-Auszugs nicht zu bestätigen vermochten. Insbesondere hat die Eidgenössische Ausgleichskasse (EAK) die Anfrage der Vorinstanz vom 4. Februar 2014 mit Schreiben vom 21. Februar 2014 dahingehend beantwortet, dass die Arbeitgeberin die massgeblichen Lohnjournale der Jahre 1965 bis 1967 geprüft und bestätigt habe, dass für den Beschwerdeführer aus diesen Jahren ein AHV-Bruttoeinkommen von Fr. 2'400.- resultiere (act. 78 und act. 83). Der Nachweis, dass im Jahr 1966 effektiv ein zusätzlicher AHV-Lohn von Fr. 4'800.- (vgl. BVGer act. 33 und 35) zu berücksichtigen wäre, ist damit nicht erbracht.</w:t>
      </w:r>
    </w:p>
    <w:p>
      <w:r>
        <w:rPr>
          <w:b/>
        </w:rPr>
        <w:t>E. 4.6.3</w:t>
      </w:r>
    </w:p>
    <w:p>
      <w:r>
        <w:t>Insgesamt ergibt sich daher, dass die Berücksichtigung der unaufgefordert eingereichten Eingaben des Beschwerdeführers vom 20. und vom 22. März 2016 (BVGer act. 33 und 35, je samt Beilagen) nicht zu einer Berichtigung des IK-Auszugs führen, da der Beschwerdeführer den ihm diesbezüglich obliegenden Nachweis nicht hat erbringen können. Diese nachträglich gewürdigten Beweismittel vermögen das Ergebnis nicht umzustossen, zu welchem das Bundesverwaltungsgericht - nach eingehender Prüfung der nachfolgenden zehn Eingaben, d.h. der Beschwerde (BVGer act. 1), der Eingabe vom 22. Juni 2015 (BVGer act. 5), der Teil-Replikeingaben vom 22. Juli 2015 (BVGer act. 9 samt Beilagen), vom 10. August 2015 (BVGer act. 11 samt Beilagen) und vom 18. August 2015 (BVGer act. 13 samt Beilagen) sowie der unaufgefordert eingereichten Stellungnahmen vom 12. Oktober 2015, vom 16. November 2015, vom 23. November 2015, vom 27. Januar 2016 und vom 28. Januar 2016 (BVGer act. 18 samt Beilagen, BVGer act. 20 samt Beilagen, BVGer act. 22 samt Beilagen, BVGer act. 26 samt Beilagen, BVGer act. 27 samt Beilagen) - bereits in seinem Urteil C-2375/2015 gelangt ist.</w:t>
      </w:r>
    </w:p>
    <w:p>
      <w:r>
        <w:rPr>
          <w:b/>
        </w:rPr>
        <w:t>E. 5.1</w:t>
      </w:r>
    </w:p>
    <w:p>
      <w:r>
        <w:t>Nach Art. 45 VGG gelten für die Revision von Entscheiden des Bundesverwaltungsgerichts die Art. 121 - 128 BGG sinngemäss. Gemäss Art. 47 VGG findet auf Inhalt, Form und Ergänzung des Revisionsgesuches Art. 67 Abs. 3 VwVG Anwendung.</w:t>
      </w:r>
    </w:p>
    <w:p>
      <w:r>
        <w:rPr>
          <w:b/>
        </w:rPr>
        <w:t>E. 5.2</w:t>
      </w:r>
    </w:p>
    <w:p>
      <w:r>
        <w:t>Die Revision stellt ein ausserordentliches Rechtsmittel dar, mit welchem ein formell rechtskräftiger Beschwerdeentscheid bei der Beschwerdeinstanz, die diesen Entscheid getroffen hat, angefochten werden kann. Die Revision betrifft Verfügungen von Verwaltungsjustizbehörden und setzt voraus, dass der Beschwerdeentscheid an besonders qualifizierter ursprünglicher Fehlerhaftigkeit leidet (vgl. Pierre Tschannen/Ulrich Zimmerli/Markus Müller, Allgemeines Verwaltungsrecht, 4. Aufl 2014, § 31 Rz. 24 f., S. 289). Ein Revisionsbegehren bezweckt also, die für einen Entscheid verantwortliche Instanz dazu zu bewegen, diesen trotz bereits eingetretener formeller Rechtskraft erneut zu überprüfen (vgl. Ursina Beerli-Bonorand, Die ausserordentlichen Rechtsmittel in der Verwaltungsrechtspflege des Bundes und der Kantone, Zürich 1985, S. 35).</w:t>
      </w:r>
    </w:p>
    <w:p>
      <w:r>
        <w:rPr>
          <w:b/>
        </w:rPr>
        <w:t>E. 5.3</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 Die Revision eines Urteils in öffentlich-rechtlichen Angelegenheiten kann unter anderem verlangt werden, wenn die ersuchende Partei nachträglich erhebliche Tatsachen erfährt oder entscheidende Beweismittel auffindet, die sie in ihrem früheren Verfahren nicht beibringen konnte, unter Ausschluss der Tatsachen und Beweismittel, die erst nach dem Entscheid entstanden sind (Art. 45 VGG i.V.m. Art. 123 Abs. 2 Bst. a BGG).</w:t>
      </w:r>
    </w:p>
    <w:p>
      <w:r>
        <w:rPr>
          <w:b/>
        </w:rPr>
        <w:t>E. 5.4</w:t>
      </w:r>
    </w:p>
    <w:p>
      <w:r>
        <w:t>An die Begründung ausserordentlicher Rechtsmittel werden erhöhte Anforderungen gestellt (Art. 67 Abs. 3 VwVG i.V.m. Art. 47 VGG). In der Rechtsschrift ist die Rechtzeitigkeit des Revisionsbegehrens im Sinne von Art. 124 BGG darzutun; zudem ist anzugeben, welcher gesetzliche Revisionstatbestand angerufen wird und inwiefern Anlass besteht, gerade diesen Grund geltend zu machen. Sind dem Gesuch nicht genügend substanziierte, wirkliche Rechtsmittelgründe zu entnehmen, so ist darauf überhaupt nicht einzutreten (vgl. Fritz Gygi, Bundesverwaltungsrechtspflege, 2. Auflage, Bern 1983, S. 198 f.). Demgegenüber ist nicht erforderlich, dass die angerufenen Revisionsgründe wirklich bestehen, sondern es genügt, wenn der Gesuchsteller deren Vorliegen behauptet (BGE 96 I 279; Beerli-Bonorand, a.a.O., S. 148 f.).</w:t>
      </w:r>
    </w:p>
    <w:p>
      <w:r>
        <w:rPr>
          <w:b/>
        </w:rPr>
        <w:t>E. 5.5</w:t>
      </w:r>
    </w:p>
    <w:p>
      <w:r>
        <w:t>Vorliegend ergeben sich aus dem Rückweisungsverfahren keine neuen Tatsachen oder Beweismittel im Sinne der prozessualen Revision, welche eine Änderung des dem Rückweisungsverfahren zugrunde gelegten Sachverhaltes gebieten würden. Im Gegenteil wäre es dem Beschwerdeführer ohne Weiteres möglich und zumutbar gewesen, seine neu vorgebrachte Argumentation bezüglich der nunmehr geltend gemachten Wohnsitzdauer in der Schweiz und der Anrechnung von Erziehungsgutschriften bereits im ersten Beschwerdeverfahren (C-5384/2011 vom 16. Dezember 2013) vorzubringen. Hinzu kommt, dass der Beschwerdeführer im Beschwerdeverfahren C-5384/2011 selbst argumentiert hat, dass der Mittelpunkt seiner Lebensinteressen - und damit sein Wohnsitz - im Zeitpunkt seiner Heirat mit F._______ vom 4. Juni 1998 nicht mehr in K._______ sei (act. 39, S. 7). Der Beschwerdeführer begründet auch in keiner Weise, inwiefern es sich bei seiner - im Widerspruch zum früheren Beschwerdeverfahren - vorgebrachten Berufung auf den geltend gemachten Wohnsitz in der Schweiz bis ins Jahr 2004 um eine neue Tatsache handeln soll. Die Beschwerdeeingabe genügt mithin den Anforderungen an die Substanziierung eines Revisionsbegehrens nicht, sodass hierauf nicht einzutreten ist. Bei dieser Sachlage ist nicht zu beanstanden, dass die Vorinstanz den früheren Angaben zum Wohnsitz mehr Gewicht beigemessen hat als den späteren, bewusst oder unbewusst von nachträglichen überlegungen versicherungsrechtlicher oder anderer Art beeinflussten Vorbringen. Die Prozessführung des Beschwerdeführers erweist sich insoweit als widersprüchlich, als er im ersten Beschwerdeverfahren noch behauptet hat, der Mittelpunkt seiner Lebensinteressen - und damit sein Wohnsitz - sei nicht mehr in K._______, währenddem er im vorliegenden Beschwerdeverfahren genau das Gegenteil behauptet. Dieses Vorgehen ist im Sinne eines "venire contra factum proprium" als rechtsmissbräuchlich zu werten und verdient keinen Rechtsschutz.</w:t>
      </w:r>
    </w:p>
    <w:p>
      <w:r>
        <w:rPr>
          <w:b/>
        </w:rPr>
        <w:t>E. 5.6</w:t>
      </w:r>
    </w:p>
    <w:p>
      <w:r>
        <w:t>Bei diesem Ergebnis erübrigt sich die beantragte weitere Abklärung beim Bevölkerungsamt der Stadt K._______, zumal in Bezug auf die massgebliche Dauer des schweizerischen Wohnsitzes des Beschwerdeführers keine Gründe für ein Abweichen von den tatsächlichen Feststellungen im Urteil des Bundesverwaltungsgerichts C-5384/2011 vom 16. Dezember 2013 ersichtlich sind.</w:t>
      </w:r>
    </w:p>
    <w:p>
      <w:r>
        <w:rPr>
          <w:b/>
        </w:rPr>
        <w:t>E. 6</w:t>
      </w:r>
    </w:p>
    <w:p>
      <w:r>
        <w:t>Zusammenfassend ist deshalb festzuhalten, dass für die Dauer des massgeblichen Wohnsitzes auf den vom Bundesverwaltungsgericht im Urteil C-5384/2011 verbindlich festgestellten Sachverhalt abzustellen ist, nachdem das zum zweiten Mal angerufene Gericht eine erneute Prüfung des bereits beurteilten und verbindlich festgelegten Sachverhaltes verwehrt ist, da sich der Beschwerdeführer auch nicht auf hinreichend substanziierte Revisionsgründe zu berufen vermag. Auch die Prüfung und Würdigung der unaufgeforderten Eingaben des Beschwerdeführers vom 20. und 22. März 2016 gibt keinen Anlass zur zusätzlichen Berücksichtigung von Erziehungsgutschriften respektive AHV-Einkommen. Da im Übrigen keine Fehler bei der Ermittlung des Rentenanspruchs des Beschwerdeführers geltend gemacht werden und auch nicht ersichtlich sind, erweist sich die Beschwerde als unbegründet, weshalb sie abzuweisen ist, soweit hierauf eingetreten werden kann.</w:t>
      </w:r>
    </w:p>
    <w:p>
      <w:r>
        <w:rPr>
          <w:b/>
        </w:rPr>
        <w:t>E. 7</w:t>
      </w:r>
    </w:p>
    <w:p>
      <w:r>
        <w:t>Das Verfahren ist für die Parteien kostenlos (Art. 85bis Abs. 2 AHVG), weshalb keine Verfahrenskosten zu erheben sind. Die obsiegende Vorinstanz hat als Bundesbehörde keinen Anspruch auf eine Parteientschädigung (Art. 7 Abs. 3 des Reglements über die Kosten und Entschädigungen vor dem Bundesverwaltungsgericht [VGKE, SR 73.320.2]. Dem unterliegenden Beschwerdeführer ist entsprechend dem Verfahrensausgang ebenfalls keine Parteientschädigung zuzusprechen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