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C-4850/2012 vom 11. August 2015</w:t>
      </w:r>
    </w:p>
    <w:p>
      <w:r>
        <w:t>Bundesverwaltungsgericht, 2015-08-11, FR</w:t>
      </w:r>
    </w:p>
    <w:p>
      <w:r>
        <w:rPr>
          <w:b/>
        </w:rPr>
        <w:t xml:space="preserve">Quelle: </w:t>
      </w:r>
      <w:r>
        <w:t>https://mcp.opencaselaw.ch/entscheid/bvger_C-4850_2012</w:t>
      </w:r>
    </w:p>
    <w:p>
      <w:r>
        <w:t>FR: TAF C-4850/2012 du 11 août 2015</w:t>
      </w:r>
    </w:p>
    <w:p>
      <w:r>
        <w:t>IT: TAF C-4850/2012 del 11 agosto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Les autorités chargées de l'exécution de la LEtr s'assistent mutuellement dans l'accomplissement de leurs tâches (art. 97 al. 1 LEtr). Selonl'art.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sa décision du 5 avril 2012 à l'appro­bation de l'ODM en conformité avec la législation et la jurisprudence (cf. arrêt de principe du TF 2C_146/2014 du 30 mars 2015 consid. 4, destiné à la publication). Il s'ensuit que l'ODM (actuellement le SEM) et, a fortiori, le TAF ne sont pas liés par la décision du SPOP du 5 avril 2012 d'octroyer une autorisation de séjour à X._______ et à ses deux enfants et peuvent parfaitement s'écarter de l'appréciation faite par cette autorité (cf. arrêt du TF 2C_146/2014 consid. 4.3.1 s.).</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4.2</w:t>
      </w:r>
    </w:p>
    <w:p>
      <w:r>
        <w:t>A titre liminaire, il convient de préciser que, dans la mesure où le di­vorce d'avec son époux a été prononcé le 22 décembre 2011, X._______ ne peut déduire aucun droit à l'obtention d'une autorisation de sé­jour des art. 7 let. d ALCP et 3 par. 1 et par. 2 let. a annexe I ALCP (cf. notamment arrêts du TF 2C_783/2014 du 27 janvier 2015 consid. 1.2; 2C_792/2013 du 11 février 2014 consid. 2).</w:t>
      </w:r>
    </w:p>
    <w:p>
      <w:r>
        <w:rPr>
          <w:b/>
        </w:rPr>
        <w:t>E. 5.1.1</w:t>
      </w:r>
    </w:p>
    <w:p>
      <w:r>
        <w:t>Par contre, se pose la question de savoir si, comme le retient le SPOP dans la proposition d'approbation soumise à l'ODM le 5 avril 2012, l'enfant E._______, qui a été placé, à l'instar de sa demi-soeur, B._______, sous la garde de sa mère à la suite du divorce et qui est titulaire de la nationalité française, a un droit propre de demeurer en Suisse, dont la recourante pourrait bénéficier à titre dérivé.</w:t>
      </w:r>
    </w:p>
    <w:p>
      <w:r>
        <w:rPr>
          <w:b/>
        </w:rPr>
        <w:t>E. 5.1.2</w:t>
      </w:r>
    </w:p>
    <w:p>
      <w:r>
        <w:t>Le seul droit propre d'E._______ de demeurer en Suisse peut être celui de l'art. 6 ALCP, qui garantit aux personnes n'exerçant pas d'activité économique le droit de séjourner sur le territoire d'une partie contractante, conformément aux dispositions de l'annexe I ALCP relatives aux non-actifs (cf. art. 24 annexe I ALCP; voir notamment arrêts du TF 2C_375/2014 du 4 février 2015 consid. 3.1; 2C_470/2014 du 29 janvier 2015 consid. 3.1, et jurisprudence citée).</w:t>
      </w:r>
    </w:p>
    <w:p>
      <w:r>
        <w:rPr>
          <w:b/>
        </w:rPr>
        <w:t>E. 5.2.1</w:t>
      </w:r>
    </w:p>
    <w:p>
      <w:r>
        <w:t>En vertu de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arrêts du TF 2C_375/2014 consid. 3.2; 2C_470/2014 consid. 3.2; cf. aussi directives et commentaires du SEM concernant l'introduction progressive de la libre circulation des personnes [Directives OLCP], état juillet 2015, chiffre 8.2.3). Il importe peu, pour apprécier la si­tuation économique du requérant, que ce dernier génère lui-même ses moyens financiers ou que ceux-ci lui soient procurés par un tiers (cf.ATF 135 II 265 consid. 3.3; arrêts du TF 2C_375/2014 consid. 3.2; 2C_470/2014 consid. 3.2, et jurisprudence citée). Dans ce contexte, le TF a précisé que cette jurisprudence ne visait pas uniquement les personnes majeures (cf. notamment ATF 139 II 393 consid. 4.2.3; arrêt du TF 2C_470/2014 consid. 3.1 in fine, et jurisprudence citée; voir également, dans le même sens, Gaëtan Blaser, in : Amarelle/Nguyen, [éd.], Code annoté de droit des migrations, vol. III : Accord sur la libre circulation des personnes [ALCP], 2014, p. 82, no 20 ad art. 6 ALCP).</w:t>
      </w:r>
    </w:p>
    <w:p>
      <w:r>
        <w:rPr>
          <w:b/>
        </w:rPr>
        <w:t>E. 5.2.2</w:t>
      </w:r>
    </w:p>
    <w:p>
      <w:r>
        <w:t>Dans un arrêt Zhu et Chen du 19 octobre 2004 auquel se réfère no­tamment l'ATF 135 II 265, la CJCE s'est demandée si une ressortissante d'un Etat tiers, mère d'une citoyenne de l'Union en bas âge, avait le droit de séjourner avec son enfant sur le territoire de l'Union. La CJCE a jugé que la Directive 90/364/CEE du Conseil du 28 juin 1990 relative au droit de séjour ainsi que l'art. 18 du Traité instituant la Communauté euro­péenne (CE [actuellement art. 21 du Traité sur le fonctionnement de l'Union européenne; TFUE]) conféraient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du 19 octobre 2004C-200/02 Zhu et Chen c. Secretary of State for the Home Department, Recueil de jurisprudence [Rec.] 2004 I-09925, point 41). Ces mêmes dis­positions permettaient au parent, quelle que soit sa nationalité, qui a effectivement la garde de cet enfant, de séjourner avec lui dans l'Etat membre d'accueil (arrêt Zhu et Chen précité, point 46 ss.). Dans la me­sure où l'enfant dépendait tant affectivement que financièrement de sa mère, un refus d'autorisation de séjour aurait eu pour effet de contraindre l'enfant à quitter le territoire de l'Union et à suivre son parent à l'étranger. Une telle conséquence revenait, selon la CJCE, à "priver (...) de tout effet utile le droit de séjour de l'enfant" (cf. arrêt du TF 2C_606/2013 du 4 avril 2014 consid. 3.4 citant l'arrêt Zhu et Chen précité, point 45). Dans un arrêt du 15 novembre 2010, le TF s'est aligné sur la jurisprudence Zhu et Chen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(arrêt 2C_574/2010 du 15 novembre 2010 consid. 2.2.2). En ma­tière d'ALCP, l'art. 16 al. 2 de cet accord impose aux autorités suisses de tenir compte des arrêts de la CJCE antérieurs à sa signature. Dès lors qu'il est postérieur à la date de signature de l'ALCP, l'arrêt de la CJCE Zhu et Chen du 19 octobre 2004 ne devrait certes pas être pris en consi­dération en vertu de l'art. 16 par. 2 ALCP; toutefois, dans le but d'assurer une situation juridique parallèle entre les États membres de la Commu­nauté européenne, d'une part, et entre ceux-ci et la Suisse, d'autre part, ainsi que pour tenir compte de l'évolution de la jurisprudence de l'UE, le TF s'inspire de tels arrêts, pour autant que des motifs sérieux ne s'y opposent pas (cf. ATF 136 II 5 consid. 3.4; 136 II 65 consid. 3.1; arrêts du TF 2C_375/2014 consid. 3.3; 2C_390/2013 du 10 avril 2014 consid. 3.1, et jurisprudence citée; cf. aussi arrêt du TF 6B_196/2012 du 24 janvier 2013 consid. 2.1.3). Par la suite, le TF a confirmé cette jurisprudence à plusieurs reprises (cf. notamment ATF 139 II 393 consid. 4.2.5; arrêts 2C_375/2014 consid. 3.3; 2C_470/2014 consid. 3.3; 2C_606/2013 consid. 3.2; 2C_253/2012 du 11 janvier 2013 consid. 4; 2C_190/2011 du 23 novembre 2011 consid. 4.2.1; cf. en outre Blaser, in : Amarelle/Nguyen, op. cit., pp. 82/83, nos 20 ss ad art. 6 ALCP). A cet égard, le TF a précisé que l'admission d'un droit dérivé à la libre circulation suppose que la personne qui en dispose à titre originaire ait elle-même fait usage des libertés garanties par l'ALCP (cf. notamment arrêt du TF 2C_862/2013 du 18 juillet 2014 consid. 6.2.3, et arrêts cités).</w:t>
      </w:r>
    </w:p>
    <w:p>
      <w:r>
        <w:rPr>
          <w:b/>
        </w:rPr>
        <w:t>E. 5.3</w:t>
      </w:r>
    </w:p>
    <w:p>
      <w:r>
        <w:t>En l'espèce, E._______, fils de X._______, qui réside en Suisse depuis sa naissance (septembre 2009), dispose de la citoyenneté d'un Etat membre de l'UE (France) et ses ressources pourraient lui être fournies par le parent qui en a la garde, à savoir sa mère. Il convient par conséquent d'examiner si la prénommée dispose de moyens d'existence suffisants pour assurer son entretien, ainsi que celui de son fils et de sa fille, B._______ (née en mars 2002 et de nationalité russe). Il ressort des pièces produites par la recourante dans le cadre de la pré­sente procédure que cette dernière est au bénéfice, depuis le 1er no­vembre 2014, d'un contrat de travail de durée indéterminée conclu avec la société M._______, à Genève, et perçoit, en sa qualité d'assistante administrative et de direction, un salaire mensuel net s'élevant à 5'297 fr. 55. A cela, il convient d'ajouter le montant mensuel dont X._______ bé­néficie au titre des allocations familiales (soit une somme globale de600 francs) et la pension alimentaire versée par son ex-époux en faveur des deux enfants (à savoir un montant mensuel de 1'500 francs [cf. co­pies du contrat de travail du 7 octobre 2014, des décomptes de salaire des mois d'avril à juin 2015, des extraits de compte bancaire établis pour ces trois mêmes mois et de la décision d'octroi des allocations familiales du 18 novembre 2014 versées au dossier par X._______ lors de ses écritures du 30 juin 2015]). Au total, la recourante dispose ainsi de reve­nus se montant à 7'397 fr. 55. S'agissant des charges mensuelles auxquelles doit faire face la recou­rante, il y a lieu de constater que cette dernière s'acquitte d'un loyer de 2'920 francs (charges comprises), de primes d'assurance-maladie pour elle et ses enfants s'élevant au total à 564 fr. 10 et de frais de garderie de 623 fr. 75 pour son fils E._______. Le ménage que forme X._______ avec ses enfants se composant de trois personnes, le forfait pour l'entretien dudit ménage équivaut, d'après les normes CSIAS, à1'834 francs (cf. les normes CSIAS en ligne sur le site internet de la CSIAS : &lt; https://www.csias.ch/les-normes-csias/normes_CSIAS_à_ partir_de_2015/Concepts_et_normes_de_calcul_de_l'aide_sociale/B_ Couverture_des_besoins_de_base/B.2_Forfait_pour_l'entretien/B.2.2_ Montants_recommandés_pour_le_forfait_pour_l'entretien_d'un_ménage_à_partir_de_2015 &gt;, consulté en juillet 2015). Les charges principales de la recourante atteignent au total un montant de 5'941 fr. 85. Il suit de là que X._______ dispose d'un budget mensuel excédentaire de 1'455 fr. 70 (7'397 fr. 55 - 5'941 fr. 85).</w:t>
      </w:r>
    </w:p>
    <w:p>
      <w:r>
        <w:rPr>
          <w:b/>
        </w:rPr>
        <w:t>E. 5.4</w:t>
      </w:r>
    </w:p>
    <w:p>
      <w:r>
        <w:t>Dans ces conditions, le TAF est amené à considérer que la recou­rante, qui ne fait pas l'objet de poursuites pour dettes ni d'actes de défaut de biens (cf. déclaration de l'Office des poursuites du district de L._______ du 3 juin 2015 produite par X._______ lors de ses écritures du 30 juin 2015), possède des moyens financiers suffisants pour assumer les charges du ménage et, donc, pour assurer son indépendance financière et celle de ses deux enfants. Aucun élément du dossier ne laisse d'autre part entrevoir l'éventualité d'une détérioration subite et prochaine de la si­tuation professionnelle et financière de la recourante.</w:t>
      </w:r>
    </w:p>
    <w:p>
      <w:r>
        <w:rPr>
          <w:b/>
        </w:rPr>
        <w:t>E. 5.4.1</w:t>
      </w:r>
    </w:p>
    <w:p>
      <w:r>
        <w:t>Par voie de conséquence, les ressources financières de l'enfant E._______ sont suffisantes au regard des art. 6 ALCP, 24par. 1 et 2 annexe I ALCP et 16 al. 1 OLCP pour que ce dernier ne de­vienne pas une charge pour les finances publiques suisses. Compte tenu de l'ensemble des considérations émises ci-dessus, cet enfant, en sa qualité de ressortissant français, peut se prévaloir, en tant que sa situa­tion est similaire à celle de l'enfant exposée dans l'arrêt Zhu et Chen, d'un droit (originaire) à l'octroi d'un titre de séjour sur la base de l'ALCP. Partant, sa mère, X._______, qui en a la garde, doit se voir reconnaître un droit (dérivé) à la libre circulation lui permettant de résider en Suisse à ses côtés.</w:t>
      </w:r>
    </w:p>
    <w:p>
      <w:r>
        <w:rPr>
          <w:b/>
        </w:rPr>
        <w:t>E. 5.4.2</w:t>
      </w:r>
    </w:p>
    <w:p>
      <w:r>
        <w:t>Par contre, l'enfant B._______, qui ne peut, en regard des dispositions de l'ALCP, revendiquer un droit (dérivé) de séjour par rapport à son demi-frère, E._______, est cependant en mesure, dès lors que cet enfant est également placé sous la garde de la recourante et entretient donc avec elle des relations étroites et effectives, d'inférer de la garantie liée au respect de sa vie familiale consacrée par l'art. 8par. 1 CEDH (respectivement l'art. 13 al. 1 Cst.) un droit à une auto­risation de séjour au titre du regroupement familial avec sa mère, admise à résider durablement en Suisse sur la base de l'ALCP (cf. notamment ATF 137 I 284 consid. 1.3; arrêt du TF 2C_899/2014 du 3 avril 2015 consid. 3.1, et jurisprudence citée).</w:t>
      </w:r>
    </w:p>
    <w:p>
      <w:r>
        <w:rPr>
          <w:b/>
        </w:rPr>
        <w:t>E. 6</w:t>
      </w:r>
    </w:p>
    <w:p>
      <w:r>
        <w:t>Il s'ensuit que le recours doit être admis, la décision attaquée du 13 août 2012 annulée et l'octroi par le SPOP des autorisations de séjour approu­vé au sens des considérants formulés ci-avant. Partant, il est superflu d'examiner si X._______ est en mesure de revendiquer l'application en sa faveur de l'art. 50 al. 1 let. a et let. b LEtr, en lien avec l'art. 50al. 2 LEtr.</w:t>
      </w:r>
    </w:p>
    <w:p>
      <w:r>
        <w:rPr>
          <w:b/>
        </w:rPr>
        <w:t>E. 7</w:t>
      </w:r>
    </w:p>
    <w:p>
      <w:r>
        <w:t>Obtenant gain de cause, la recourante n'a pas à supporter de frais de procédure (cf. art. 63 al. 1 a contrario et al. 3 PA). Aucun frais n'est mis à la charge de l'autorité inférieure déboutée (cf.art. 63 al. 2 PA). Par décision incidente du 21 novembre 2012, le TAF a mis la recourante, dont la situation financière était alors moins favorable, au bénéfice de l'assistance judiciaire et désigné son mandataire avocat d'office pour la procédure de recours (art. 65 al. 1 et 2 PA). X._______ ayant toutefois obtenu gain de cause, la décision du TAF du 21 novembre 2012 concer­nant l'octroi de l'assistance judiciaire devient sans objet et il y a lieu d'allouer des dépens à l'intéressée (art. 64 al. 1 PA en relation avecl'art.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les mandataires successifs de la recourante, le TAF estime, au regard des art. 8 ss FITAF, que le versement d'un montant global de 1'800 francs à titre de dépens (y compris supplément TVA selon l'art. 9 al. 1let. c FITAF) à la recourante,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