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C-4848/2020 vom 4. September 2023</w:t>
      </w:r>
    </w:p>
    <w:p>
      <w:r>
        <w:t>Bundesverwaltungsgericht, 2023-09-04, DE</w:t>
      </w:r>
    </w:p>
    <w:p>
      <w:r>
        <w:rPr>
          <w:b/>
        </w:rPr>
        <w:t xml:space="preserve">Quelle: </w:t>
      </w:r>
      <w:r>
        <w:t>https://mcp.opencaselaw.ch/entscheid/bvger_C-4848_2020</w:t>
      </w:r>
    </w:p>
    <w:p>
      <w:r>
        <w:t>FR: TAF C-4848/2020 du 4 septembre 2023</w:t>
      </w:r>
    </w:p>
    <w:p>
      <w:r>
        <w:t>IT: TAF C-4848/2020 del 4 settembre 2023</w:t>
      </w:r>
    </w:p>
    <w:p>
      <w:pPr>
        <w:pStyle w:val="Heading2"/>
      </w:pPr>
      <w:r>
        <w:t>Regeste</w:t>
      </w:r>
    </w:p>
    <w:p>
      <w:r>
        <w:t>Marktüberwachung</w:t>
      </w:r>
    </w:p>
    <w:p>
      <w:pPr>
        <w:pStyle w:val="Heading2"/>
      </w:pPr>
      <w:r>
        <w:t>Erwägungen</w:t>
      </w:r>
    </w:p>
    <w:p>
      <w:r>
        <w:rPr>
          <w:b/>
        </w:rPr>
        <w:t>E. 1.1</w:t>
      </w:r>
    </w:p>
    <w:p>
      <w:r>
        <w:t>Die Zuständigkeit zur Beurteilung der vorliegenden Streitsache richtet sich nach Art. 31 ff. des Bundesgesetzes über das Bundesverwaltungsge- richt vom 17. Juni 2005 (VGG, SR 173.32). Danach beurteilt das Bundes- verwaltungsgericht Beschwerden gegen Verfügungen der Instanzen oder Organisationen ausserhalb der Bundesverwaltung, die in Erfüllung der ihnen übertragenen öffentlich-rechtlichen Aufgaben des Bundes verfügen (Art. 33 Bst. h VGG). Da die Stiftung Antidoping Schweiz resp. die Stiftung Swiss Sport Integrity (vgl. Bst. A. hiervor) eine solche Organisation darstellt (vgl. Art. 19 Abs. 2 und 20 SpoFöG und Art. 73 Abs. 1 und 2 SpoFöV), die angefochtene Anordnung ohne Zweifel als Verfügung im Sinne von Art. 5 Abs. 1 VwVG zu qualifizieren ist und zudem keine Ausnahme gemäss Art. 32 VGG vorliegt, ist das Bundesverwaltungsgericht zur Beurteilung der vorliegenden Beschwerde zuständig.</w:t>
      </w:r>
    </w:p>
    <w:p>
      <w:r>
        <w:rPr>
          <w:b/>
        </w:rPr>
        <w:t>E. 1.2.1</w:t>
      </w:r>
    </w:p>
    <w:p>
      <w:r>
        <w:t>Hinsichtlich der fälschlicherweise auf den 2. Oktober 2020 datierten Verfügung führte der Beschwerdeführer insbesondere aus, er müsse die Tatsache, dass ihm Antidoping Schweiz am 25. September 2020 eine Ver- fügung eröffnet habe, die auf den 2. Oktober 2020 datiert sei, nachdem er sich bereits zweimal kritisch zur Rechtmässigkeit der Gebührenforderung geäussert habe und ein "Rekurs" mehr oder weniger zu erwarten gewesen sei, als geradezu hinterhältig werten. Antidoping Schweiz sei sehr wohl be- wusst, dass die "Rekursfrist" mit der Eröffnung zu laufen beginne. Er könne sich deshalb des Eindrucks nicht erwehren, dass man ihn habe dazu ver- leiten wollen, aufgrund von Nachlässigkeit oder Unaufmerksamkeit die "Rekursfrist" zu verpassen. Es mute "wie ein Hohn an", dass ausgerechnet eine Stiftung, die sich dem fairen und integren Wettkampf verschrieben habe, zu solchen Methoden greife (B-act. 3).</w:t>
      </w:r>
    </w:p>
    <w:p>
      <w:r>
        <w:rPr>
          <w:b/>
        </w:rPr>
        <w:t>E. 1.2.2</w:t>
      </w:r>
    </w:p>
    <w:p>
      <w:r>
        <w:t>Im Zusammenhang mit der fristgerecht eingereichten Beschwerde des Beschwerdeführers resp. dem Ablauf der Rechtsmittelfrist ist präzi- sierend und ergänzend festzuhalten, dass die Verfügung, welche dem Be- schwerdeführer unbestrittenermassen am 25. September 2020 zugestellt worden war (vgl. Bst. C.b hiervor), auf den 2. Oktober 2020 vordatiert war und somit ein unzutreffendes Datum trägt, was mit Blick auf die Rechtsmit- telbelehrung, wonach innert 30 Tagen seit der Eröffnung Beschwerde beim Bundesverwaltungsgericht erhoben werden könne, nicht irrelevant ist.</w:t>
      </w:r>
    </w:p>
    <w:p>
      <w:r>
        <w:t>C-4848/2020 Seite 7</w:t>
      </w:r>
    </w:p>
    <w:p>
      <w:r>
        <w:rPr>
          <w:b/>
        </w:rPr>
        <w:t>E. 1.2.3</w:t>
      </w:r>
    </w:p>
    <w:p>
      <w:r>
        <w:t>Stellt die falsche Angabe über den Ablauf der Rechtsmittelfrist einen Eröffnungsmangel dar, so darf in analoger Anwendung der bundesgericht- lichen Praxis zu unzutreffenden Rechtsmittelbelehrungen den vom Mangel Betroffenen nach Treu und Glauben kein Nachteil daraus erwachsen (vgl. BGE 139 III 78 E. 5.4.2 und BGE 138 I 49 E. 8.3.2; siehe auch BGE 135 III 374 E. 1.2.2.1 sowie Urteil des BGer 2C_756/2017 vom 21. Sep- tember 2017 E. 3.3). Diese Praxis steht indessen unter dem Vorbehalt, dass der Betroffene den Irrtum nicht bemerkt hat und ihn bei gebührender Aufmerksamkeit auch nicht hätte bemerken müssen. Dabei darf nur eine grobe prozessuale Unsorgfalt einer Partei dazu führen, dass der Schutz von Treu und Glauben nicht greift. Der Vertrauensschutz versagt zudem nur dann, wenn der Mangel in der Rechtsmittelbelehrung für den Rechtsu- chenden bzw. seinen Rechtsvertreter allein schon durch Konsultierung der massgebenden Verfahrensbestimmung ersichtlich gewesen wäre (BGE 138 I 49 E. 8.3.2 und BGE 135 III 374 E. 1.2.2.1).</w:t>
      </w:r>
    </w:p>
    <w:p>
      <w:r>
        <w:rPr>
          <w:b/>
        </w:rPr>
        <w:t>E. 1.2.4</w:t>
      </w:r>
    </w:p>
    <w:p>
      <w:r>
        <w:t>Der Beschwerdeführer hatte explizit die Zustellung der fälschlicher- weise auf den 2. Oktober 2020 datierten Verfügung am 25. September 2020 bestätigt und den Irrtum selber bemerkt. Weiter wurde seine Eingabe vom 27. September 2020 vom Bundesverwaltungsgericht als (fristgerecht eingereichte) Beschwerde qualifiziert (B-act. 1). Da dem Beschwerdeführer aus der objektiv mangelhaften Eröffnung der Verfügung kein Nachteil im Sinne von Art. 49 Abs. 3 ATSG erwachsen ist bzw. die objektiv mangelhafte Eröffnung trotz ihres Mangels ihren Zweck erreicht hat (vgl. hierzu BGE 122 V 189 E. 2; SVR 2019 IV Nr. 64 S. 208 E. 5.3), ist auf die diesbezügli- che Rüge des Beschwerdeführers nicht weiter einzugehen.</w:t>
      </w:r>
    </w:p>
    <w:p>
      <w:r>
        <w:rPr>
          <w:b/>
        </w:rPr>
        <w:t>E. 1.3</w:t>
      </w:r>
    </w:p>
    <w:p>
      <w:r>
        <w:t>Der Beschwerdeführer als Adressat der angefochtenen Verfügung hat am vorinstanzlichen Verfahren als Partei teilgenommen, ist durch diesen Entscheid besonders berührt und hat an dessen Aufhebung oder Änderung ein schutzwürdiges Interesse (Art. 48 Abs. 1 VwVG). Nachdem auch der Verfahrenskostenvorschuss innert der gesetzten Frist geleistet wurde, ist auf die frist- und formgerecht eingereichte Beschwerde (vgl. Art. 50 Abs. 1 und Art. 52 Abs. 1 VwVG) einzutreten.</w:t>
      </w:r>
    </w:p>
    <w:p>
      <w:r>
        <w:rPr>
          <w:b/>
        </w:rPr>
        <w:t>E. 1.4.1</w:t>
      </w:r>
    </w:p>
    <w:p>
      <w:r>
        <w:t>Anfechtungsgegenstand im verwaltungsgerichtlichen Beschwerde- verfahren bilden, formell betrachtet, Verfügungen und – materiell – die in den Verfügungen geregelten Rechtsverhältnisse (BGE 125 V 413 E. 2a).</w:t>
      </w:r>
    </w:p>
    <w:p>
      <w:r>
        <w:t>C-4848/2020 Seite 8 Der Begriff der Verfügung bestimmt sich dabei mangels näherer Konkreti- 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 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1.4.2</w:t>
      </w:r>
    </w:p>
    <w:p>
      <w:r>
        <w:t>Streitgegenstand im System der nachträglichen Verwaltungsrechts- pflege ist das Rechtsverhältnis, welches – im Rahmen des durch die Ver- fügung bestimmten Anfechtungsgegenstandes – den aufgrund der Be- schwerdebegehren effektiv angefochtenen Verfügungsgegenstand bildet. Anfechtungs- und Streitgegenstand sind danach identisch, wenn die Ver- waltungsverfügung insgesamt angefochten wird (BGE 131 V 164 E. 2.1; SVR 2010 BVG Nr. 14 S. 56 E. 4.1). Streitgegenstand bildet das auf Grund der Beschwerdebegehren tatsächlich angefochtene Rechtsverhältnis. An- fechtungs- und Streitgegenstand beziehen sich auf ein (materielles) Rechtsverhältnis. Bezieht sich also die Beschwerde nur auf einzelne der durch die Verfügung bestimmten Rechtsverhältnisse, gehören die nicht be- anstandeten – verfügungsweise festgelegten – Rechtsverhältnisse zwar wohl zum Anfechtungs-, aber nicht zum Streitgegenstand (BGE 125 V 413 E. 2a). Den Parteianträgen kommt entsprechend dem Verfügungsgrund- satz für die Festlegung des Streitgegenstandes vorrangige Bedeutung zu. So wie die versicherte Person sich mit einer Verfügung durch Nichtanfech- tung abfinden kann, so steht ihr auch die Befugnis zu, nur einzelne der verfügungsweise geregelten Rechtsverhältnisse durch Beschwerde rich- terlich überprüfen zu lassen (BGE 118 V 311 E. 3b). Den Streitgegenstand bestimmende, aber aufgrund der Beschwerdebegehren nicht beanstan- dete Elemente prüft das Gericht nur, wenn hierzu aufgrund der Parteivor- bringen oder anderer sich aus den Akten ergebender Anhaltspunkte hinrei- chender Anlass vorhanden ist (BGE 125 V 413 E. 2c).</w:t>
      </w:r>
    </w:p>
    <w:p>
      <w:r>
        <w:rPr>
          <w:b/>
        </w:rPr>
        <w:t>E. 1.4.3</w:t>
      </w:r>
    </w:p>
    <w:p>
      <w:r>
        <w:t>Anfechtungsobjekt und damit Begrenzung des Streitgegenstandes des vorliegenden Beschwerdeverfahrens (vgl. BGE 131 V 164 E. 2.1) bil- det die angefochtene Verfügung der Vorinstanz vom 24. September 2020 (vgl. h E. 1.2 hiervor). Nachfolgend ist der Streitgegenstand resp. das auf</w:t>
      </w:r>
    </w:p>
    <w:p>
      <w:r>
        <w:t>C-4848/2020 Seite 9 Grund der Beschwerdebegehren tatsächlich angefochtene Rechtsverhält- nis zu bestimmen.</w:t>
      </w:r>
    </w:p>
    <w:p>
      <w:r>
        <w:rPr>
          <w:b/>
        </w:rPr>
        <w:t>E. 1.4.4</w:t>
      </w:r>
    </w:p>
    <w:p>
      <w:r>
        <w:t>Wie vorstehend bereits dargelegt (vgl. Bst. C.b hiervor), erhob der Beschwerdeführer anlässlich der Eingabe vom 20. Oktober 2020 explizit nur gegen Ziffer 2 der angefochtenen Verfügung Beschwerde und bean- tragte die Aufhebung dieser Ziffer. Zufolge dieses Antrags ist mit Blick auf die in vorstehender Erwägung 1.4.1 und 1.4.2 zusammengefasst wieder- gegebene bundesgerichtliche Rechtsprechung vorab festzuhalten, dass nachfolgend nicht streitig und zu prüfen ist, ob die Vorinstanz die zurück- gehaltenen Inhalte zu Recht eingezogen und vernichtet hat. Die Ziffer 1 des Dispositivs der Verfügung vom 24. September 2020 gehört somit zwar wohl zum Anfechtungs-, nicht jedoch zum Streitgegenstand, weshalb sich diesbezüglich im vorliegenden Beschwerdeverfahren eine weitergehende Prüfung erübrigt.</w:t>
      </w:r>
    </w:p>
    <w:p>
      <w:r>
        <w:rPr>
          <w:b/>
        </w:rPr>
        <w:t>E. 1.4.5</w:t>
      </w:r>
    </w:p>
    <w:p>
      <w:r>
        <w:t>Mit Blick auf die in der Eingabe vom 20. Oktober 2020 beantragte Aufhebung der Ziffer 2 der Verfügung vom 24. September 2020 wird diese Ziffer hingegen vom Streitgegenstand umfasst. Streitig und zu prüfen ist deshalb nachfolgend die Rechtmässigkeit der Auferlegung einer Gebühr in der Höhe von Fr. 400.-.</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t>C-4848/2020 Seite 10</w:t>
      </w:r>
    </w:p>
    <w:p>
      <w:r>
        <w:rPr>
          <w:b/>
        </w:rPr>
        <w:t>E. 2</w:t>
      </w:r>
    </w:p>
    <w:p>
      <w:r>
        <w:t>Vorliegend wurden die in Frage stehenden Produkte im Juli 2020 von der Eidgenössischen Zollverwaltung EZV zurückbehalten, und die Vorinstanz erliess diesbezüglich am 24. September 2020 die vorliegend angefochtene Verfügung. In materiellrechtlicher Hinsicht sind die Bestimmungen des SpoFöG und der SpoFöV in derjenigen Fassung anwendbar, die zum Zeit- punkt des Erlasses der angefochtenen Verfügung vom 24. September 2020 bzw. des zu Rechtsfolgen führenden Sachverhalts in Kraft gewesen sind (vgl. BGE 129 V 1 E. 1.2 mit Hinweisen), das heisst die Bestimmungen des SpoFöG in der Fassung vom 1. Januar 2019, die SpoFöV in der Fas- sung vom 1. Juli 2020, die GebV-BASPO in der Fassung vom 1. Januar 2018 und die AllgGebV in der Fassung vom 1. Januar 2013.</w:t>
      </w:r>
    </w:p>
    <w:p>
      <w:r>
        <w:rPr>
          <w:b/>
        </w:rPr>
        <w:t>E. 3.1</w:t>
      </w:r>
    </w:p>
    <w:p>
      <w:r>
        <w:t>Der Bund unterstützt und ergreift Massnahmen gegen den Missbrauch von Mitteln und Methoden zur Steigerung der körperlichen Leistungsfähig- keit im Sport (Doping), insbesondere durch Ausbildung, Beratung, Doku- mentation, Forschung, Information und Kontrollen (Art. 19 Abs. 1 SpoFöG). Nach Art. 19 Abs. 2 SpoFöG kann der Bundesrat die Kompetenz, Mass- nahmen gegen Doping zu ergreifen, ganz oder teilweise an eine nationale Agentur zur Bekämpfung von Doping übertragen. Diese erlässt die erfor- derlichen Verfügungen. Gemäss Art. 19 Abs. 3 SpoFöG legt der Bundesrat die Mittel und die Methoden fest, deren Verwendung oder Anwendung strafbar sind. Er berücksichtigt dabei die internationale Entwicklung. Ver- botene Dopingmittel im Sinne von Art. 19 Abs. 3 SpoFöG sind gemäss Art. 74 Abs. 1 SpoFöV a) die im Anhang aufgeführten Stoffe; b) deren Salze, Ester, Ether und optische Isomere; c) die Salze, Ester und Ether der optischen Isomere; d) Präparate, die diese Stoffe enthalten. Die verbote- nen Stoffe sind im Anhang zur SpoFöV in Ziffer I aufgelistet. Dazu gehören unter anderem Anabolika, Erythropoese stimulierende Substanzen oder Wachstumshormone.</w:t>
      </w:r>
    </w:p>
    <w:p>
      <w:r>
        <w:rPr>
          <w:b/>
        </w:rPr>
        <w:t>E. 3.2</w:t>
      </w:r>
    </w:p>
    <w:p>
      <w:r>
        <w:t>Gemäss Art. 20 Abs. 1 SpoFöG arbeiten die Verwaltungseinheiten des Bundes, das Schweizerische Heilmittelinstitut, die zuständigen kantonalen Stellen sowie die nach Art. 19 SpoFöG für Massnahmen gegen Doping zu- ständige Stelle zusammen, um die Verfügbarkeit von Dopingmitteln und - methoden einzuschränken. Gemäss Art. 20 Abs. 2 SpoFöG meldet die Zoll- verwaltung Feststellungen, die einen Verdacht auf Zuwiderhandlungen ge- gen dieses Gesetz begründen, den kantonalen Strafverfolgungsbehörden. Nach Art. 20 Abs. 3 SpoFöG ist die Zollverwaltung berechtigt, bei Verdacht</w:t>
      </w:r>
    </w:p>
    <w:p>
      <w:r>
        <w:t>C-4848/2020 Seite 11 einer Zuwiderhandlung gegen dieses Gesetz Dopingmittel an der Grenze oder in Zolllagern zurückzuhalten und die nach Art. 19 SpoFöG für Mass- nahmen gegen Doping zuständige Stelle beizuziehen. Diese nimmt die weiteren Abklärungen vor und trifft die erforderlichen Massnahmen. Ge- mäss Art. 20 Abs. 4 SpoFöG kann die nach Art. 19 SpoFöG für Massnah- men gegen Doping zuständige Stelle unabhängig von einem allfälligen Strafverfahren die Einziehung und Vernichtung von Dopingmitteln oder von Gegenständen, die der unmittelbaren Entwicklung und Anwendung von Dopingmethoden dienen, verfügen.</w:t>
      </w:r>
    </w:p>
    <w:p>
      <w:r>
        <w:rPr>
          <w:b/>
        </w:rPr>
        <w:t>E. 3.3</w:t>
      </w:r>
    </w:p>
    <w:p>
      <w:r>
        <w:t>Gemäss Art. 73 Abs. 1 SpoFöV bezeichnet das VBS eine geeignete Institution als nationale Agentur zur Bekämpfung von Doping. Es beauftragt die Institution nach Art. 73 Abs. 1 SpoFöV, Massnahmen gegen Doping durch Ausbildung, Beratung, Dokumentation, Forschung und Information sowie die Massnahmen nach Art. 20 Abs. 3 SpoFöG zu ergreifen, und es unterstützt deren Kontrolltätigkeit durch Finanzhilfen (Art. 73 Abs. 2 SpoFöV). Gemäss Art. 73 Abs. 3 Satz 1 SpoFöV schliesst es mit der Insti- tution nach Art. 73 Abs. 1 SpoFöV einen Leistungsvertrag ab und bezeich- net darin die zu erfüllenden Aufgaben im Einzelnen und die Abgeltung für die Wahrnehmung dieser Aufgaben.</w:t>
      </w:r>
    </w:p>
    <w:p>
      <w:r>
        <w:rPr>
          <w:b/>
        </w:rPr>
        <w:t>E. 4</w:t>
      </w:r>
    </w:p>
    <w:p>
      <w:r>
        <w:t>Nachfolgend ist in einem ersten Schritt zu prüfen, ob die Vorinstanz zum Erlass der Verfügung vom 24. September 2020 befugt war.</w:t>
      </w:r>
    </w:p>
    <w:p>
      <w:r>
        <w:rPr>
          <w:b/>
        </w:rPr>
        <w:t>E. 4.1</w:t>
      </w:r>
    </w:p>
    <w:p>
      <w:r>
        <w:t>Die Vorinstanz machte diesbezüglich in ihrer Vernehmlassung vom 13. Januar 2022 zusammengefasst geltend, in Erfüllung ihres gesetzlichen Auftrags sei sie kompetent gewesen, die am Zoll zurückgehaltenen Pro- dukte einzuziehen. Gemäss Art. 19 Abs. 2 in Verbindung mit Art. 20 Abs. 4 SpoFöG obliege es der Vorinstanz, die entsprechende verwaltungsrechtli- che Massnahme zu verfügen. Diese Massnahme in Form der Einziehung und Vernichtung sei nicht nur geeignet und erforderlich, sondern darüber hinaus und im Hinblick auf den gesetzlichen Auftrag auch zumutbar.</w:t>
      </w:r>
    </w:p>
    <w:p>
      <w:r>
        <w:rPr>
          <w:b/>
        </w:rPr>
        <w:t>E. 4.2</w:t>
      </w:r>
    </w:p>
    <w:p>
      <w:r>
        <w:t>Mit Blick auf die in den vorstehenden Erwägungen 3.1 und 3.3 wieder- gegebenen Gesetzes- und Verordnungsbestimmungen ist festzuhalten, dass der Bundesrat der in Art. 19 Abs. 2 SpoFöG normierten Kompetenz- einräumung mit der Errichtung der Stiftung Antidoping Schweiz, welche am 1. Januar 2022 von der Stiftung Swiss Sport Integrity abgelöst wurde, nach- kam (vgl. Art. 73 Abs. 1 SpoFöV). Da die Vorinstanz gemäss Art. 19 Abs. 2 SpoFöG in Verbindung mit Art. 73 Abs. 2 SpoFöV beauftragt worden war,</w:t>
      </w:r>
    </w:p>
    <w:p>
      <w:r>
        <w:t>C-4848/2020 Seite 12 Massnahmen gegen Doping durch Ausbildung, Beratung, Dokumentation, Forschung und Information sowie Massnahmen nach Art. 20 Abs. 3 SpoFöG zu ergreifen, war sie in Anwendung von Art. 20 Abs. 4 SpoFöG zum Erlass der Verfügung vom 24. September 2020 befugt.</w:t>
      </w:r>
    </w:p>
    <w:p>
      <w:r>
        <w:rPr>
          <w:b/>
        </w:rPr>
        <w:t>E. 4.3</w:t>
      </w:r>
    </w:p>
    <w:p>
      <w:r>
        <w:t>Wie vorstehend bereits dargelegt (vgl. E. 1.4.4 hiervor), erhob der Be- schwerdeführer explizit nur gegen die Ziffer 2 der Verfügung vom 24. Sep- tember 2020 Beschwerde und beantragte die Aufhebung dieser Ziffer, wes- halb nicht streitig und zu prüfen ist, ob die Vorinstanz die zurückgehaltenen Inhalte zurecht eingezogen und vernichtet hat (Ziffer 1 des Dispositivs der Verfügung vom 24. September 2020). Der Beschwerdeführer bestreitet da- bei einerseits, dass die Vorinstanz als "beauftragte externe Organisation" befugt ist, gestützt auf die AllgGebV oder die GebV-BASPO irgendwelche Gebühren zu erheben, und andererseits die Transparenz bezüglich der Be- messung dieser Gebühren.</w:t>
      </w:r>
    </w:p>
    <w:p>
      <w:r>
        <w:rPr>
          <w:b/>
        </w:rPr>
        <w:t>E. 5</w:t>
      </w:r>
    </w:p>
    <w:p>
      <w:r>
        <w:t>Nachfolgend ist daher in einem weiteren Schritt zu prüfen, ob die Vorinstanz befugt ist, gestützt auf die AllgGebV und/oder die GebV-BASPO Gebühren zu erheben.</w:t>
      </w:r>
    </w:p>
    <w:p>
      <w:r>
        <w:rPr>
          <w:b/>
        </w:rPr>
        <w:t>E. 5.1</w:t>
      </w:r>
    </w:p>
    <w:p>
      <w:r>
        <w:t>Betreffend die Befugnis zur Gebührenerhebung seitens der Vorinstanz führte der Beschwerdeführer in seiner Eingabe vom 20. Oktober 2020 und in seiner Replik vom 10. Februar 2022 zusammengefasst aus, Art. 1 AllgGebV "legt die Grundsätze fest, nach denen die Bundesverwaltung Ge- bühren für ihre Verfügungen und Dienstleistungen erhebt", dies im Ein- klang mit Art. 46a des Regierungs- und Verwaltungsorganisationsgesetzes vom 21. März 1997 (RVOG; SR 172.010). Es werde weder von "Behörden" gesprochen noch würden "andere Instanzen oder Organisationen" er- wähnt. Auch sage die AllgGebV nichts dazu, dass dieses Recht resp. diese Pflicht zur Gebührenerhebung delegiert werden könne. Auch im SpoFöG stehe nichts davon, dass mit der Delegation der Vollzugsaufgaben auch die Pflicht zur Erhebung von Gebühren delegiert werden könne. Gleiches gelte für die GebV-BASPO, die gemäss Art 1 die Gebühren für die amtli- chen Leistungen des BASPO regle (und eben nicht die Gebühren von durch das BASPO beauftragten Externen). Nicht zuletzt schweige sich auch die Rahmenvereinbarung zwischen BASPO und Antidoping Schweiz komplett über die Erhebung von Gebühren aus. Zusammengefasst ergebe sich das klare Bild, dass sich in den erwähnten Erlassen betreffend allfäl- lige Gebühren von externen Organisationen keine Informationen finden</w:t>
      </w:r>
    </w:p>
    <w:p>
      <w:r>
        <w:t>C-4848/2020 Seite 13 liessen. Er sei deshalb der Ansicht, dass Antidoping Schweiz als beauf- tragte externe Organisation nicht befugt sei, gestützt auf die AllgGebV oder die GebV-BASPO irgendwelche Gebühren zu erheben, selbst wenn die Stiftung amtlich handle. Die Gebührenforderung sei nicht rechtens, da ihr jegliche rechtliche Grundlage fehle. Er sei nicht einverstanden damit, dass Art. 2 GebV-BASPO reiche, um die AllgGebV anzuwenden. Die AllgGebV beschränke sich in ihrer Gültigkeit nicht nur auf die Erhebung von Gebüh- ren durch die Bundesverwaltung (zu der die Stiftung als von der Bundes- verwaltung beauftragte Behörde nicht gehöre), sondern sie stelle auch klar, dass spezialgesetzliche Gebührenregelungen vorbehalten blieben resp. durch die betroffene Verwaltungseinheit zu regeln seien. Seiner Meinung nach sei die Erhebung einer Gebühr durch eine privatrechtliche Stiftung ganz klar ein solcher Spezialfall, der in der GebV-BASPO zu regeln gewe- sen wäre. Ob eine solche Regelung allerdings angesichts des rechtlichen Status der Stiftung rechtens gewesen wäre, bezweifle er.</w:t>
      </w:r>
    </w:p>
    <w:p>
      <w:r>
        <w:rPr>
          <w:b/>
        </w:rPr>
        <w:t>E. 5.2</w:t>
      </w:r>
    </w:p>
    <w:p>
      <w:r>
        <w:t>Zur Begründung machte die Vorinstanz in ihrer Vernehmlassung vom 13. Januar 2022 zusammengefasst geltend, das VwVG finde Anwendung auf Verfahren in Verwaltungssachen, die durch Verfügungen von Bundes- verwaltungsbehörden in erster Instanz oder auf Beschwerde zu erledigen seien (Art. 1 Abs. 1 VwVG). Als Behörden im Sinne des VwVG würden an- dere Instanzen oder Organisationen ausserhalb der Bundesverwaltung gelten, soweit sie in Erfüllung ihnen übertragener öffentlich-rechtlicher Auf- gaben des Bundes verfügten. Der Vorinstanz sei mit der Rahmenvereinba- rung die öffentlich-rechtliche Aufgabe als nationale Agentur zur Bekämp- fung von Doping übertragen worden. Indem die Vorinstanz die Einziehung und Vernichtung der fraglichen Produkte verfügt habe, habe sie in Erfüllung ihr übertragener öffentlich-rechtlicher Bundesaufgaben gehandelt. Das VwVG sei demnach auf das Verfahren vor der Vorinstanz anwendbar.</w:t>
      </w:r>
    </w:p>
    <w:p>
      <w:r>
        <w:rPr>
          <w:b/>
        </w:rPr>
        <w:t>E. 5.3</w:t>
      </w:r>
    </w:p>
    <w:p>
      <w:r>
        <w:t>Dargelegte ist es dabei irrelevant, ob die Vorinstanz privatrechtlich or- ganisiert ist oder nicht. Ergänzend ist an dieser Stelle auch auf die bishe- rige Rechtsprechung des Bundesverwaltungsgerichts, wonach die Vorinstanz zur Erhebung von Gebühren befugt ist, zu verweisen (vgl. Ur- teile des BVGer C-3081/2016 vom 24. August 2017 E. 3, C-4632/2014 vom 15. Juli 2015 E. 9 und C-1351/2013 vom 19. Februar 2015 E. 14).</w:t>
      </w:r>
    </w:p>
    <w:p>
      <w:r>
        <w:rPr>
          <w:b/>
        </w:rPr>
        <w:t>E. 5.4</w:t>
      </w:r>
    </w:p>
    <w:p>
      <w:r>
        <w:t>Wie bereits dargelegt wurde (vgl. E. 4.2 hiervor), kam der Bundesrat der in Art. 19 Abs. 2 SpoFöG normierten Kompetenzeinräumung mit der Errichtung der Stiftung Antidoping Schweiz, welche am 1. Januar 2022 von</w:t>
      </w:r>
    </w:p>
    <w:p>
      <w:r>
        <w:t>C-4848/2020 Seite 15 der Stiftung Swiss Sport Integrity abgelöst wurde, nach (vgl. Art. 73 Abs. 1 SpoFöV). Aufgrund des in vorstehender Erwägung 5.3 zusammengefasst wiedergegebenen Botschaftstexts zu den einschlägigen gesetzlichen Nor- men ist erstellt, dass die Vorinstanz, welche die Aufgaben der Dopingbe- kämpfung von Swiss Olympic und vom BASPO übernahm und diese im Rahmen einer unabhängigen Instanz weiterführt, vom Begriff der Bundes- behörde mit Vollzugskompetenz erfasst wird. Entgegen den Ausführungen des Beschwerdeführers ist die Vorinstanz unter diesen Umständen sehr wohl grundsätzlich befugt, gestützt auf die GebV-BASPO sowie die Allg- GebV Gebühren zu erheben. Mit Blick auf das in vorstehender Erwägung</w:t>
      </w:r>
    </w:p>
    <w:p>
      <w:r>
        <w:rPr>
          <w:b/>
        </w:rPr>
        <w:t>E. 6</w:t>
      </w:r>
    </w:p>
    <w:p>
      <w:r>
        <w:t>Im Anschluss an die in vorstehender Erwägung 5 erfolgte Prüfung der vorinstanzlichen Befugnis zur Gebührenerhebung ist nachfolgend die Transparenz bezüglich der Bemessung dieser Gebühren zu prüfen.</w:t>
      </w:r>
    </w:p>
    <w:p>
      <w:r>
        <w:rPr>
          <w:b/>
        </w:rPr>
        <w:t>E. 6.1</w:t>
      </w:r>
    </w:p>
    <w:p>
      <w:r>
        <w:t>Der Beschwerdeführer machte diesbezüglich in den Eingaben vom 20. Oktober 2020 und 10. Februar 2022 insbesondere geltend, unabhängig von der Rechtmässigkeit der Gebühren sei die Bemessung derselben völ- lig intransparent. Antidoping Schweiz berufe sich auf das Kostendeckungs- prinzip, weigere sich jedoch, die Kosten resp. Aufwände zur Bearbeitung des Falles offenzulegen. Antidoping Schweiz verweigere die Erstellung ei- nes konkreten Stundenrapports der angefallenen Aufwände, weshalb bei ihm der Eindruck entstehe, dass nach Gutdünken irgendwelche Pauscha- len verrechnet würden. Die Stiftung versuche wiederholt zu suggerieren, er habe die Verhältnismässigkeit der Gebühr angefochten, was er explizit nicht gemacht habe. Die Stiftung beziehe sich auf die AllgGebV, halte aber die elementarsten Grundsätze eben dieser Verordnung nicht ein. Art. 4 und 5 AllgGebV stellten klar, wie die Gebühren zu bemessen seien – nach Zeit- aufwand. Pauschalen müssten transparent geregelt sein, wie es die GebV- BASPO übrigens für zahlreiche Pauschalen tue. Ganz offensichtlich er- hebe die Stiftung aber Pauschalen. Es sei sonst nicht zu erklären, weshalb in zahlreichen, vor Bundesverwaltungsgericht angefochtenen Entscheiden immer eine Gebühr von Fr. 400.- erhoben worden sei. Die Stiftung aller- dings spreche von einem Stundenansatz von Fr. 120.-, der anzuwenden</w:t>
      </w:r>
    </w:p>
    <w:p>
      <w:r>
        <w:t>C-4848/2020 Seite 16 sei. Gemäss Art. 4 AllgGebV seien die von der Eidgenössischen Finanz- verwaltung (EFV) jährlich bestimmten Arbeitsplatzkosten für die zu erhe- benden Stundenansätze massgeblich. Mit Fr. 120.- pro Stunde bewege sich die Stiftung im Rahmen der Lohnklasse 26. Gemäss der vom Eidge- nössischen Personalamt veröffentlichten Liste der Referenzfunktionen ent- spreche dies einer Person mit Hochschulabschluss auf Stufe Master mit zwei bis drei Jahren berufsrelevanter Erfahrung. Er stelle sich dann schon die Frage, was ein Hochschulabsolvent, der lohntechnisch als Fachexperte eingestuft sei, während 3.5 Stunden mache, wenn das Ergebnis dieses Zeitaufwands eine Standardverfügung sei, für die er mit Sicherheit entspre- chende Vorlagen angefertigt habe. Entsprechend wichtig wäre es, dass die Stiftung die tatsächlich aufgewendeten Stunden ausweise. Diese Auskunft werde ihm jedoch verweigert. Seiner Meinung nach zeigten die Fakten klar auf, dass die Stiftung seit über 10 Jahren in "tausenden Fällen" ohne recht- liche Grundlage in absolut intransparenter Art und Weise Gebühren erho- ben habe und dies weiterhin tue, was einen eklatanten und unerträglichen Verstoss gegen das Willkürverbot gemäss Art. 9 der Bundesverfassung der Schweizerischen Eidgenossenschaft vom 18. April 1999 (BV; SR 101) dar- stelle.</w:t>
      </w:r>
    </w:p>
    <w:p>
      <w:r>
        <w:rPr>
          <w:b/>
        </w:rPr>
        <w:t>E. 6.2</w:t>
      </w:r>
    </w:p>
    <w:p>
      <w:r>
        <w:t>Vernehmlassungsweise brachte die Vorinstanz am 13. Januar 2022 vor, Art. 2 Abs. 1 AllgGebV statuiere den Grundsatz, dass derjenige, der eine Verfügung veranlasse, eine Gebühr zu bezahlen habe. Die AllgGebV sei auf den vorliegenden Fall aufgrund des Verweises in Art. 2 der GebV- BASPO anwendbar und bilde die rechtliche Grundlage, um dem Beschwer- deführer eine Verwaltungsgebühr aufzuerlegen. Es sei unstreitig, dass der Beschwerdeführer Importeur des fraglichen Produktes und damit Verursa- cher der Verfügung sei. Entsprechend sei er gebührenpflichtig und habe für die Kosten der veranlassten Einziehung und Vernichtung des in Frage stehenden Produktes aufzukommen. Für die Bemessung von Gebühren gelte im allgemeinen Verwaltungsrecht das Kostendeckungsprinzip. Nach diesem Prinzip soll gemäss ständiger bundesgerichtlicher Rechtsprechung der Gesamtertrag der erhobenen Abgaben die Gesamtkosten des Gemein- wesens für den betreffenden Verwaltungszweig oder die betreffende Ein- richtung nicht oder höchstens geringfügig übersteigen. Das heisse, die Ge- bühr von Fr. 400.- decke die der Vorinstanz in diesem Verfahren entstan- denen Kosten bzw. den Aufwand, den diese gehabt habe. Dass diese Ge- bühr angemessen sei, sei vom Bundesverwaltungsgericht mehrfach bestä- tigt worden. Die Gebühr werde nach Zeitaufwand berechnet, falls im An- hang kein Ansatz festgelegt sei (Art. 6 Abs. 2 GebV-BASPO). Der Stunden-</w:t>
      </w:r>
    </w:p>
    <w:p>
      <w:r>
        <w:t>C-4848/2020 Seite 17 ansatz betrage zwischen Fr. 50.- und Fr. 250.-. Die verfügungsweise auf- erlegte Gebühr in der Höhe von Fr. 400.- entspreche, ausgehend von ei- nem durchschnittlichen Stundenansatz von Fr. 120.-, einem Zeitaufwand von nicht einmal 3.5 Stunden. Man sei der Auffassung, dass ein solcher nach der Aktenlage offensichtlich nicht übermässig sei.</w:t>
      </w:r>
    </w:p>
    <w:p>
      <w:r>
        <w:rPr>
          <w:b/>
        </w:rPr>
        <w:t>E. 6.3.1</w:t>
      </w:r>
    </w:p>
    <w:p>
      <w:r>
        <w:t>Nach dem Grundsatz der Gesetzmässigkeit bedarf jedes staatliche Handeln einer gesetzlichen Grundlage (Art. 5 Abs. 1 BV). Inhaltlich gebietet das Gesetzmässigkeitsprinzip, dass staatliches Handeln insbesondere auf einem generell-abstrakten Rechtssatz von genügender Normstufe und ge- nügender Bestimmtheit zu beruhen hat (statt vieler Urteil des BVGer A- 2456/2017 vom 12. April 2018 E. 4.3.1 m.w.H.).</w:t>
      </w:r>
    </w:p>
    <w:p>
      <w:r>
        <w:rPr>
          <w:b/>
        </w:rPr>
        <w:t>E. 6.3.2</w:t>
      </w:r>
    </w:p>
    <w:p>
      <w:r>
        <w:t>Werden gestützt auf Art. 164 Abs. 2 BV Rechtsetzungskompetenzen des Gesetzgebers auf den Verordnungsgeber übertragen, spricht man von Gesetzesdelegation. Der Gesetzgeber ermächtigt damit im (formellen) Ge- setz die Exekutive zum Erlass von gesetzesvertretenden Verordnungen. Die Gesetzesdelegation gilt als zulässig, wenn sie nicht durch die Verfas- sung ausgeschlossen ist, in einem Gesetz im formellen Sinn enthalten ist, sich auf ein bestimmtes, genau umschriebenes Sachgebiet beschränkt und die Grundzüge der delegierten Materie, das heisst die wichtigen Regelun- gen, im delegierenden Gesetz selbst enthalten sind (Art. 164 Abs. 1 BV; statt vieler Urteil des BVGer A-863/2017 vom 23. November 2017 E. 7.2.1 m.w.H.).</w:t>
      </w:r>
    </w:p>
    <w:p>
      <w:r>
        <w:rPr>
          <w:b/>
        </w:rPr>
        <w:t>E. 6.3.3</w:t>
      </w:r>
    </w:p>
    <w:p>
      <w:r>
        <w:t>Öffentliche Abgaben sind Geldleistungen, welche die Privaten kraft öffentlichen Rechts dem Staat schulden. Sie werden unterteilt in Kausal- abgaben, Steuern und Gemengsteuern (vgl. HÄFELIN/MÜLLER/UHLMANN, Allgemeines Verwaltungsrecht, 8. Aufl., Zürich/St. Gallen, 2020, Rz. 2756). Öffentliche Abgaben dienen in erster Linie der Deckung des öffentlichen Finanzbedarfs (Fiskalfunktion), daneben manchmal auch der Verhaltens- lenkung (Lenkungsfunktion). Zudem weisen gewisse öffentliche Abgaben eine Ausgleichsfunktion auf; dabei werden diejenigen Vorteile, die nur ei- nem Einzelnen bzw. einer kleinen Gruppe zukommen, mit einer Abgabe teilweise oder ganz abgeschöpft (HÄFELIN/MÜLLER/UHLMANN, a.a.O., Rz. 2753). Kausalabgaben sind klassische öffentliche Abgaben, zu denen die Beiträge und Gebühren gehören. Sie beruhen stets auf einem persönlichen Verpflichtungsgrund und sind Geldleistungen, die kraft öffentlichen Rechts als Entgelt für eine bestimmte staatliche Leistung oder einen besonderen</w:t>
      </w:r>
    </w:p>
    <w:p>
      <w:r>
        <w:t>C-4848/2020 Seite 18 Vorteil zugunsten des pflichtigen Individuums entrichtet werden müssen (statt vieler Urteil des BGer 2C_604/2017 vom 10. Januar 2018 E. 3.2.1 m.w.H.).</w:t>
      </w:r>
    </w:p>
    <w:p>
      <w:r>
        <w:rPr>
          <w:b/>
        </w:rPr>
        <w:t>E. 6.3.4</w:t>
      </w:r>
    </w:p>
    <w:p>
      <w:r>
        <w:t>ff. hiervor).</w:t>
      </w:r>
    </w:p>
    <w:p>
      <w:r>
        <w:rPr>
          <w:b/>
        </w:rPr>
        <w:t>E. 6.3.5</w:t>
      </w:r>
    </w:p>
    <w:p>
      <w:r>
        <w:t>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 ertrag abwerfen (BGE 124 I 11 E. 6d; 122 I 279 E. 6a S. 289; Urteil des BGer 2C_404/2010 E. 6.3). Im Geltungsbereich des Kostendeckungsprin- zips darf die Abgabe aber maximal so bemessen werden, dass sie eine Deckung des massgebenden Gesamtaufwandes erlaubt. Zu diesem zäh- len nicht nur die laufenden Ausgaben, sondern auch angemessene Rück- stellungen, Abschreibungen und Reserven. Dagegen lässt es das Kosten- 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w:t>
      </w:r>
    </w:p>
    <w:p>
      <w:r>
        <w:t>C-4848/2020 Seite 19</w:t>
      </w:r>
    </w:p>
    <w:p>
      <w:r>
        <w:rPr>
          <w:b/>
        </w:rPr>
        <w:t>E. 6.3.6</w:t>
      </w:r>
    </w:p>
    <w:p>
      <w:r>
        <w:t>Das Äquivalenzprinzip stellt die gebührenrechtliche Ausgestaltung des Verhältnismässigkeitsprinzips nach Art. 5 Abs. 2 BV und des Willkür- verbots nach Art. 9 BV dar (Urteile des BGer 2C_995/2012 vom 16. De- zember 2013 E. 5.3; 2C_900/2011 vom 2. Juni 2012 E. 4.2; BGE 128 I 46 E. 4a), weshalb es Verfassungsrang hat. Das Äquivalenzprinzip besagt, dass die Höhe der Abgabe in einem angemessenen Verhältnis zur Leis- tung, in deren Genuss die abgabepflichtige Person kommt, stehen muss. Der Wert der Leistung bemisst sich entweder nach dem wirtschaftlichen Nutzen des Leistungsempfängers oder nach dem Kostenaufwand des Leistungserbringers (BGE 143 I 227 E. 4.2.2 m.w.H.; BGE 139 III 334 E. 3.2.4).</w:t>
      </w:r>
    </w:p>
    <w:p>
      <w:r>
        <w:rPr>
          <w:b/>
        </w:rPr>
        <w:t>E. 6.4.1</w:t>
      </w:r>
    </w:p>
    <w:p>
      <w:r>
        <w:t>Mit Art. 46a RVOG wurde eine allgemeine gesetzliche Grundlage für die Gebührenerhebung bei Verfügungen und Dienstleistungen der Bundes- verwaltung geschaffen (vgl. hierzu Botschaft zum Entlastungsprogramm 2003 für den Bundeshaushalt [EP 03] vom 2. Juli 2003, BBl 2003 S. 5615 ff., S. 5748 und S.5760; THOMAS SÄGESSER, Kommentar zum Regierungs- und Verwaltungsorganisationsgesetz RVOG, Bern 2007, N. 9 zu Art. 46a RVOG; THOMAS BRAUNSCHWEIG, Gebührenerhebung durch die Bundes- verwaltung, LeGes 2005 S. 9 ff., S. 21). Diese Bestimmung bildet damit die Grundlage für die Erhebung von Gebühren für erstinstanzliche Verfügun- gen im Sinne von Art. 5 VwVG und für Leistungen, die auf Veranlassung von Privaten erbracht werden und regelmässig in deren Nutzen liegen (vgl. Botschaft EP 03, BBl 2003 S. 5762; BRAUNSCHWEIG, a.a.O., S. 14; SÄGES- SER, a.a.O., N. 17 ad Art. 46a RVOG). Der Kreis der Gebührenpflichtigen ergibt sich aus dem Gebührenbegriff; bei Dienstleistungen trifft die Gebühr die Person, welche die Leistung beansprucht und aus ihr einen Nutzen zieht bzw. bei Verfügungen den Verfügungsadressaten (BRAUNSCHWEIG, a.a.O., S. 14; SÄGESSER, a.a.O., N. 24 ad Art. 46a RVOG). Hinsichtlich der Bemessungsgrundlage bestimmt Art. 46a Abs. 1 RVOG, dass die Gebüh- ren angemessen zu sein haben. Im Übrigen findet das Äquivalenz- und das Kostendeckungsprinzip Anwendung (Art. 46a Abs. 3 RVOG; vgl. hierzu E.</w:t>
      </w:r>
    </w:p>
    <w:p>
      <w:r>
        <w:rPr>
          <w:b/>
        </w:rPr>
        <w:t>E. 6.4.2.1</w:t>
      </w:r>
    </w:p>
    <w:p>
      <w:r>
        <w:t>Gestützt auf die formell-gesetzliche, für das Bundesverwaltungsge- richt massgebliche Delegationsnorm von Art. 46a RVOG – in welcher die Höhe der Abgaben nicht selbst geregelt wird und deshalb vom Fehlen einer</w:t>
      </w:r>
    </w:p>
    <w:p>
      <w:r>
        <w:t>C-4848/2020 Seite 20 entsprechenden Bemessungsgrundlage auszugehen ist – hat der Bundes- rat die AllgGebV erlassen. Die AllgGebV regelt die Gebührenpflicht, die Be- messung der Gebühren, das Verfahren ihrer Erhebung, das Gebührenin- kasso und die Verjährung. Sie ist als der Allgemeine Teil des Gebühren- rechts der Bundesverwaltung anzusehen; die speziellen Gebührenverord- nungen – welche nach Art. 1 Abs. 4 AllgGebV weiterhin möglich bleiben (vgl. dazu SÄGESSER, a.a.O., N. 32 zu Art. 46a RVOG) – sollen grundsätz- lich nur noch die Gebührenansätze in Franken (Stundenansätze oder Pau- schalen für standardisierte Verfügungen und Dienstleistungen) festlegen und allfällige, von der AllgGebV abweichende Bestimmungen enthalten bzw. in der AllgGebV nicht enthaltene Besonderheiten regeln (BRAUN- SCHWEIG, a.a.O., S. 31).</w:t>
      </w:r>
    </w:p>
    <w:p>
      <w:r>
        <w:rPr>
          <w:b/>
        </w:rPr>
        <w:t>E. 6.4.2.2</w:t>
      </w:r>
    </w:p>
    <w:p>
      <w:r>
        <w:t>Als Allgemeiner Teil des Gebührenrechts der Bundesverwaltung, welcher die Grundsätze festlegt, nach denen die Bundesverwaltung Ge- bühren für ihre Verfügungen und Dienstleistungen erhebt, haben die Be- stimmungen der AllgGebV unterschiedliche Normadressaten (SÄGESSER, a.a.O., N. 31 und 35 zu Art. 46a RVOG). Art. 4 und 5 AllgGebV stellen An- weisungen für die generell-abstrakte Festlegung der Gebührensätze dar und richten sich an den Bundesrat (BRAUNSCHWEIG, a.a.O., S. 32; SÄGES- SER, a.a.O., N. 35 zu Art. 46a RVOG); sie bilden keine Grundlage zur Fest- legung von Gebühren durch Verwaltungsbehörden im Einzelfall (SÄGES- SER, a.a.O., N. 35 zu Art. 46a RVOG). Andere Normen hingegen wie etwa Art. 7 und 10 (BRAUNSCHWEIG, a.a.O., S. 32; SÄGESSER, a.a.O., N. 35 zu Art. 46a RVOG) und namentlich Art. 9 AllgGebV – wonach die Verwaltungs- einheit für den Fall, dass eine Verfügung oder eine Dienstleistung einen aussergewöhnlichen Aufwand erfordert, die gebührenpflichtige Person vor- gängig über die voraussichtliche Gebühr unterrichtet – sind hingegen direkt anwendbar für die Bestimmung der Gebühr im Einzelfall.</w:t>
      </w:r>
    </w:p>
    <w:p>
      <w:r>
        <w:rPr>
          <w:b/>
        </w:rPr>
        <w:t>E. 6.4.2.3</w:t>
      </w:r>
    </w:p>
    <w:p>
      <w:r>
        <w:t>Gestützt auf die Delegationsnormen von Art. 46a RVOG und Art. 30 Abs. 1 SpoFöG hat der Bundesrat auch die GebV-BASPO erlassen. Dass die GebV-BASPO – in der hier noch massgeblichen Fassung (vgl. E. 2 hie- vor) - im Ingress auf Art. 30 SpoFöG gestützt ist, ist jedoch falsch. Die Ge- bührenregelung ist nicht bloss Ausführungsrecht, sondern gesetzesvertre- tendes Verordnungsrecht. Daher wurde der Verweis auf Art. 30 SpoFöG in der ab 1. Dezember 2022 in Kraft stehenden Fassung der GebV-BASPO auch gestrichen. Die Gesetzesgrundlage für die GebV-BASPO ist Art. 46a RVOG (vgl. hierzu die Erläuterungen zur Teilrevision der Verordnung über die Förderung von Sport und Bewegung vom 30. März 2022; abrufbar unter</w:t>
      </w:r>
    </w:p>
    <w:p>
      <w:r>
        <w:t>C-4848/2020 Seite 21 https://www.newsd.admin.ch/newsd/message/attachments/70860.pdf; zu- letzt aufgerufen am 28. August 2023). Erst aus der GebV-BASPO ergibt sich die Höhe der Gebühr im Einzelfall.</w:t>
      </w:r>
    </w:p>
    <w:p>
      <w:r>
        <w:rPr>
          <w:b/>
        </w:rPr>
        <w:t>E. 6.5</w:t>
      </w:r>
    </w:p>
    <w:p>
      <w:r>
        <w:t>Gestützt auf die gesetzliche Grundlage von Art. 46a RVOG, in welcher sowohl das Objekt als auch das Subjekt der Abgabe ausreichend klar fest- gelegt wurde, bestimmt die gesetzesvertretende Verordnungsnorm von Art. 3 Abs. 1 GebV-BASPO, dass eine Gebühr zu entrichten hat, wer eine Dienstleistung beansprucht oder eine Verfügung veranlasst. Nichts ande- res ergibt sich aus der Norm von Art. 2 Abs. 1 AllgGebV, welche ebenfalls gestützt auf die Delegationsnorm von Art. 46a RVOG erlassen wurde. Diese Verordnungsnormen sprengen weder offensichtlich den Rahmen der dem Bundesrat in Art. 46a RVOG delegierten Kompetenzen noch sind sie aus anderen Gründen gesetzes- oder verfassungswidrig, was im Übrigen auch für Art. 6 GebV-BASPO und Art. 4 AllgGebV gilt (vgl. E. 6.6.1, 6.6.2 und 6.7 hiernach; vgl. hierzu BGE 143 II 87 E. 4.4 m.w.H.). Der Beschwer- deführer führte explizit aus, dass ihm ein im Ausland lebender Bekannter ein Mittel geschickt habe, welches auf der Liste der verbotenen Substan- zen gemäss der SpoFöV stehe. Es ist somit zweifelsfrei erstellt, dass er gestützt auf Art. 3 Abs. 1 GebV-BASPO und Art. 2 Abs. 1 AllgGebV den Erlass der Verfügung vom 24. September 2020 veranlasst und dement- sprechend eine verwaltungsrechtliche Gebühr zu entrichten hat.</w:t>
      </w:r>
    </w:p>
    <w:p>
      <w:r>
        <w:rPr>
          <w:b/>
        </w:rPr>
        <w:t>E. 6.6.1</w:t>
      </w:r>
    </w:p>
    <w:p>
      <w:r>
        <w:t>Gemäss Art. 6 Abs. 1 GebV-BASPO gelten für die Gebührenbemes- sung die Ansätze im Anhang. Ist im Anhang kein Ansatz festgelegt, so wer- den die Gebühren nach Zeitaufwand berechnet (Art. 6 Abs. 2 GebV- BASPO). Da im Anhang kein Ansatz für den vom Beschwerdeführer veran- lassten Erlass der Verfügung vom 24. September 2020 festgelegt wurde, ist die entsprechende Gebühr nach benötigtem Zeitaufwand zu berechnen.</w:t>
      </w:r>
    </w:p>
    <w:p>
      <w:r>
        <w:rPr>
          <w:b/>
        </w:rPr>
        <w:t>E. 6.6.2</w:t>
      </w:r>
    </w:p>
    <w:p>
      <w:r>
        <w:t>und 6.6.3 hiervor).</w:t>
      </w:r>
    </w:p>
    <w:p>
      <w:r>
        <w:rPr>
          <w:b/>
        </w:rPr>
        <w:t>E. 6.6.3</w:t>
      </w:r>
    </w:p>
    <w:p>
      <w:r>
        <w:t>Vorliegend steht die Höhe der Gebühr in einem angemessenen Ver- hältnis zur Arbeit bzw. zum vorinstanzlich benötigten Aufwand von 3.5 Stunden für die Gewährung des rechtlichen Gehörs und den Erlass und die Begründung des Vorbescheids sowie der seitens der Vorinstanz zwingend zu erlassenden, angefochtenen Verfügung vom 24. September 2020. So- mit liegt auch hinsichtlich des Äquivalenzprinzips, welches die gebühren- rechtliche Ausgestaltung des Verhältnismässigkeitsprinzips nach Art. 5 Abs. 2 BV und des Willkürverbots nach Art. 9 BV darstellt, keine Verletzung vor.</w:t>
      </w:r>
    </w:p>
    <w:p>
      <w:r>
        <w:rPr>
          <w:b/>
        </w:rPr>
        <w:t>E. 6.7</w:t>
      </w:r>
    </w:p>
    <w:p>
      <w:r>
        <w:t>Aufgrund der vorstehenden Erwägungen ist zusammenfassend festzu- halten, dass Art. 3 Abs. 1 und Art. 6 GebV-BASPO sowie Art. 2 Abs. 1 und Art. 4 AllgGebV genügende gesetzliche Grundlagen darstellen, weshalb die von der Vorinstanz erhobene Gebühr in der Höhe von Fr. 400. – – aus- gehend von einem durchschnittlichen Stundenansatz von Fr. 120.– und ei- nem Zeitaufwand von nicht einmal 3.5 Stunden – insbesondere auch unter den Umständen, dass die Gebühr nach Zeitaufwand je Arbeitsstunde Fr. 50 bis Fr. 250.- beträgt (Art. 6 Abs. 3 Satz 1 GebV-BASPO) und der Stundenansatz innerhalb der Bandbreite nach Abs. 3 je nach der erforder- lichen Sachkenntnis und der Funktionsstufe des ausführenden Personals sowie dem öffentlichen Interesse und dem Interesse der gebührenpflichti- gen Person festgelegt wird (Art. 6 Abs. 4 GebV-BASPO), nicht zu bean- standen ist. In diesem Zusammenhang kann ergänzend auch auf die dies-</w:t>
      </w:r>
    </w:p>
    <w:p>
      <w:r>
        <w:t>C-4848/2020 Seite 23 bezügliche bisherige Rechtsprechung des Bundesverwaltungsgerichts ver- wiesen werden (vgl. Urteile des BVGer C-2493/2020 E. 6, C-4632/2014 vom 15. Juli 2015 E. 9 und C-1351/2013 vom 19. Februar 2015 E. 14). Daran ändert auch die fehlende Bemessungsgrundlage in Art. 46a RVOG (vgl. E. 6.4.2.1 hiervor) nichts, da auf formell-gesetzlich normierte Bemes- sungsgrundlagen in Bezug auf die Höhe der Kausalabgabe verzichtet wer- den kann, wenn – wie vorliegend – die Überprüfung anhand des Kosten- deckungs- und Äquivalenzprinzips nachvollziehbar ist (vgl. E. 6.3.5, 6.3.6,</w:t>
      </w:r>
    </w:p>
    <w:p>
      <w:r>
        <w:rPr>
          <w:b/>
        </w:rPr>
        <w:t>E. 7</w:t>
      </w:r>
    </w:p>
    <w:p>
      <w:r>
        <w:t>Aufgrund der vorstehenden Erwägungen ergibt sich zusammenfassend, dass die angefochtene Verfügung vom 24. September 2020 nicht zu bean- standen ist, weshalb die dagegen erhobene Beschwerde vom 27. Septem- ber bzw. 20. Oktober 2020 als unbegründet abzuweisen ist.</w:t>
      </w:r>
    </w:p>
    <w:p>
      <w:r>
        <w:rPr>
          <w:b/>
        </w:rPr>
        <w:t>E. 8</w:t>
      </w:r>
    </w:p>
    <w:p>
      <w:r>
        <w:t>Zu befinden bleibt über die Verfahrenskosten und eine allfällige Parteient- schädigung.</w:t>
      </w:r>
    </w:p>
    <w:p>
      <w:r>
        <w:rPr>
          <w:b/>
        </w:rPr>
        <w:t>E. 8.1</w:t>
      </w:r>
    </w:p>
    <w:p>
      <w:r>
        <w:t>Als unterliegende Partei hat der Beschwerdeführer die Verfahrenskos- ten zu tragen (Art. 63 Abs. 1 VwVG). Diese werden auf Fr. 800.– festge- setzt, dem Beschwerdeführer auferlegt und dem bereits geleisteten Kos- tenvorschuss in gleicher Höhe entnommen.</w:t>
      </w:r>
    </w:p>
    <w:p>
      <w:r>
        <w:rPr>
          <w:b/>
        </w:rPr>
        <w:t>E. 8.2</w:t>
      </w:r>
    </w:p>
    <w:p>
      <w:r>
        <w:t>Weder dem unterliegenden Beschwerdeführer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