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C-4844/2012 vom 15. Mai 2013</w:t>
      </w:r>
    </w:p>
    <w:p>
      <w:r>
        <w:t>Bundesverwaltungsgericht, 2013-05-15, IT</w:t>
      </w:r>
    </w:p>
    <w:p>
      <w:r>
        <w:rPr>
          <w:b/>
        </w:rPr>
        <w:t xml:space="preserve">Quelle: </w:t>
      </w:r>
      <w:r>
        <w:t>https://mcp.opencaselaw.ch/entscheid/bvger_C-4844_2012</w:t>
      </w:r>
    </w:p>
    <w:p>
      <w:r>
        <w:t>FR: TAF C-4844/2012 du 15 mai 2013</w:t>
      </w:r>
    </w:p>
    <w:p>
      <w:r>
        <w:t>IT: TAF C-4844/2012 del 15 maggio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par. 1 e 3 dell'Accordo del 21 giugno 1999 tra la Confederazione Svizzera, da una parte, e la Comunità europea ed i suoi Stati membri, dall'altra, sulla libera circolazione delle persone [ALC, RS 0.142.112.681]).</w:t>
      </w:r>
    </w:p>
    <w:p>
      <w:r>
        <w:rPr>
          <w:b/>
        </w:rPr>
        <w:t>E. 1.3</w:t>
      </w:r>
    </w:p>
    <w:p>
      <w:r>
        <w:t>Salvo i casi in cui la LTAF non disponga altrimenti, la procedura davanti al Tribunale amministrativo federale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DTAF 2011/43 consid. 6.1).</w:t>
      </w:r>
    </w:p>
    <w:p>
      <w:r>
        <w:rPr>
          <w:b/>
        </w:rPr>
        <w:t>E. 3</w:t>
      </w:r>
    </w:p>
    <w:p>
      <w:r>
        <w:t>A._______ sostiene che l'UFM non ha mai indicato quale suo comportamento abbia costituito una minaccia attuale per l'ordine pubblico svizzero, venendo quindi meno al suo obbligo di motivazione. Il Tribunale deve quindi preliminarmente esaminare tale censura di natura formale.</w:t>
      </w:r>
    </w:p>
    <w:p>
      <w:r>
        <w:rPr>
          <w:b/>
        </w:rPr>
        <w:t>E. 3.1</w:t>
      </w:r>
    </w:p>
    <w:p>
      <w:r>
        <w:t>Ai sensi dell'art. 35 cpv. 1 PA le decisioni scritte devono essere motivate. L'obbligo di motivare una decisione fa parte del diritto di essere sentito ancorato all'art. 29 cpv. 2 della Costituzione federale della Confederazione svizzera del 18 aprile 1999 (Cost., RS 101). Da tale garanzia costituzionale la giurisprudenza ne ha dedotto l'obbligo per l'autorità di motivare la sua decisione, così da permettere ai desti­natari e a tutte le persone interessate di comprenderla, eventualmente di impugnarla in tal modo da rendere possibile all'autorità di ricorso adita di esercitare convenientemente il suo controllo (cfr.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(cfr.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w:t>
      </w:r>
    </w:p>
    <w:p>
      <w:r>
        <w:rPr>
          <w:b/>
        </w:rPr>
        <w:t>E. 3.2</w:t>
      </w:r>
    </w:p>
    <w:p>
      <w:r>
        <w:t>Il diritto di ottenere una decisione motivata costituisce una garanzia costituzionale di natura formale, la cui violazione causa in linea di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di quella dell'autorità infe­riore (cfr. DTF 133 I 201 consid. 2.2; DTF 130 II 530 consid. 7.3; DTF 126 V 130 consid. 2b; DTF 124 V 389 consid. 5a e 180 consid. 4a). Tuttavia, qualora il vizio costituisca una grave violazione di procedura, tenuto conto del principio dell'economia di procedura, è escluso che l'autorità di ricorso lo sani (cfr. Lorenz Kneubühler, Gehörverletzung und Heilung, in Zbl 3/1998, p. 112 segg.).</w:t>
      </w:r>
    </w:p>
    <w:p>
      <w:r>
        <w:rPr>
          <w:b/>
        </w:rPr>
        <w:t>E. 3.3</w:t>
      </w:r>
    </w:p>
    <w:p>
      <w:r>
        <w:t>Nella fattispecie, la motivazione della decisione impugnata ha permesso a A._______ di comprenderne la portata e di deferirla all'istanza superiore. Concretamente, il ricorrente è stato in grado di dedurre i fatti su cui la decisione si fonda e le ragioni per cui è stata pronunciata, ed ha potuto difendersi in maniera corretta nell'ambito del ricorso presentato al Tribunale. Infine, anche nella denegata ipotesi in cui la decisione venisse considerata non sufficientemente motivata e unicamente a titolo sussidiario, si rileva che tale carenza sarebbe comunque sanata dall'impugnazione della stessa davanti allo scrivente Tribunale, il quale dispone di piena cognizione. In occasione del preavviso inoltre, l'autorità inferiore ha avuto modo di esprimersi sul contenuto del ricorso e di completarne le motivazioni, successivamente notificate all'interessato, al quale è stato concesso il diritto di replica di cui ha fatto uso (cfr. DTF 116 V 39/40 consid. 4b). Visto quanto precede, la censura dell'interessato, in ordine all'insufficien­za della motivazione e quindi alla violazione del suo diritto di essere sentita, risulta infondata.</w:t>
      </w:r>
    </w:p>
    <w:p>
      <w:r>
        <w:rPr>
          <w:b/>
        </w:rPr>
        <w:t>E. 4.1</w:t>
      </w:r>
    </w:p>
    <w:p>
      <w:r>
        <w:t>Il divieto d'entrata in Svizzera è disciplinato all'art. 67 LStr.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w:t>
      </w:r>
    </w:p>
    <w:p>
      <w:r>
        <w:rPr>
          <w:b/>
        </w:rPr>
        <w:t>E. 4.2</w:t>
      </w:r>
    </w:p>
    <w:p>
      <w:r>
        <w:t>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4.3</w:t>
      </w:r>
    </w:p>
    <w:p>
      <w:r>
        <w:t>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4.4</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Zurigo 2012, art. 67 LStr, cifra 2).</w:t>
      </w:r>
    </w:p>
    <w:p>
      <w:r>
        <w:rPr>
          <w:b/>
        </w:rPr>
        <w:t>E. 5</w:t>
      </w:r>
    </w:p>
    <w:p>
      <w:r>
        <w:t>In concreto il ricorrente è di nazionalità italiana, di conseguenza nella valutazione della presente causa è necessario tenere conto delle disposizioni dell'ALC. La LStr è dunque applicabile alla presente fattispecie solo nella misura in cui l'ALC non contiene disposizioni derogatorie o se la presente legge prevede disposizioni più favorevoli (art. 2 cpv. 2 LStr).</w:t>
      </w:r>
    </w:p>
    <w:p>
      <w:r>
        <w:rPr>
          <w:b/>
        </w:rPr>
        <w:t>E. 5.1</w:t>
      </w:r>
    </w:p>
    <w:p>
      <w:r>
        <w:t>Giusta l'art. 1 §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Ne deriva che il provvedimento in esame, limitativo di una prerogativa stabilita dall'Accordo può essere fondato solo su motivi di ordine pubblico, pubblica sicurezza e pubblica sanità, ai sensi dell'art. 5 § 1 Allegato I ALC. Queste nozioni devono essere definite ed interpretate alla luce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e della giurisprudenza della Corte di giustizia delle Comunità europee (CGCE) anteriore alla firma dell'ALC (art. 5 § 2 allegato I ALC in relazione con l'art. 16 § 2 ALC; DTF 136 II 5 consid. 4.1, DTF 131 II 352 consid. 3.1, DTF 130 II 1 consid. 3.6.1.).</w:t>
      </w:r>
    </w:p>
    <w:p>
      <w:r>
        <w:rPr>
          <w:b/>
        </w:rPr>
        <w:t>E. 5.2</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w:t>
      </w:r>
    </w:p>
    <w:p>
      <w:r>
        <w:rPr>
          <w:b/>
        </w:rPr>
        <w:t>E. 6.1</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e la sicurezza pubblici (DTF 131 II 352 consid. 3.2, DTF 130 II 176 consid. 3.4.1, cfr. anche la sentenza del Tribunale federale 2C_664/2009 precitata consid. 4.1 e le sentenze della CGCE ivi citate).</w:t>
      </w:r>
    </w:p>
    <w:p>
      <w:r>
        <w:rPr>
          <w:b/>
        </w:rPr>
        <w:t>E. 6.2</w:t>
      </w:r>
    </w:p>
    <w:p>
      <w:r>
        <w:t>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 Inoltre, come nel caso di qualsiasi altro cittadino straniero, l'esame deve essere effettuato tenendo presente le garanzie derivanti dalla CEDU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7.1</w:t>
      </w:r>
    </w:p>
    <w:p>
      <w:r>
        <w:t>Nella fattispecie, con sentenza del 16 aprile 2012 la Corte delle assise correzionali di Lugano ha ritenuto A._______ colpevole di ripetuto furto in parte tentato, ripetuto danneggiamento, ripetuto abuso di un impianto per l'elaborazione di dati in parte tentato e ripetuta violazione di domicilio, condannandolo alla pena di 15 mesi di detenzione, sospesi condizionalmente per un periodo di prova di 3 anni, nonché al versamento di indennità ad accusatori privati per un totale di 5'626.30 franchi. In Svizzera egli si è pertanto reso colpevole di vari reati di carattere patrimoniale. Dagli atti di causa si evince inoltre come tra il 1984 ed il 2001 il ricorrente sia stato oggetto di molteplici procedimenti in Italia per violazione delle norme sul controllo delle armi, delle munizioni e degli esplosivi, violazione continuata della disciplina degli stupefacenti e delle sostanze psicotrope, ricettazione continuata, bancarotta fraudolenta, ricettazione e truffa, reati per i quali è stato condannato ad un totale di 6 anni ed 1 mese di reclusione, pene in gran parte non scontate a seguito della concessione dell'indulto (cfr. estratto del casellario giudiziale italiano del 1° giugno 2012).</w:t>
      </w:r>
    </w:p>
    <w:p>
      <w:r>
        <w:rPr>
          <w:b/>
        </w:rPr>
        <w:t>E. 7.2</w:t>
      </w:r>
    </w:p>
    <w:p>
      <w:r>
        <w:t>Si sottolinea a titolo generale come, al di là del manifesto interesse pubblico a perseguire atti illeciti come quelli commessi in Svizzera dal ricorrente, questi ultimi non riguardano beni giuridici estremamente sensibili come la vita e l'integrità fisica, né sono legati al commercio di stupefacenti o altri crimini specialmente pericolosi per l'ordine pubblico (cfr. DTF 131 II 352 consid. 4.3.1 e DTF 125 II 521 consid. 4a/aa; Istruzioni sull'Ordinanza del 22 maggio 2002 concernente l'introduzione graduale della libera circolazione delle persone tra la Confederazione Svizzera e la Comunità europea e i suoi Stati membri nonché gli Stati membri dell'Associazione europea di libero scambio: Ordinanza sull'introduzione della libera circolazione delle persone [OLCP; RS 142.203], pag. 77). In queste circostanze, il provvedimento litigioso potrebbe eventualmente apparire giustificato soltanto a fronte di elementi concreti e precisi che permettano di formulare una prognosi negativa sulla condotta dell'interessato (cfr. sentenze del Tribunale federale 2A.397/2004 del 14 aprile 2005 consid. 4 e 2A.410/2004 del 14 aprile 2005 consid. 4).</w:t>
      </w:r>
    </w:p>
    <w:p>
      <w:r>
        <w:rPr>
          <w:b/>
        </w:rPr>
        <w:t>E. 8.1</w:t>
      </w:r>
    </w:p>
    <w:p>
      <w:r>
        <w:t>Occorre dunque esaminare se il comportamento tenuto da A._______ costituisce una minaccia a tutt'oggi attuale. Nel suo gravame l'interessato ha tra le altre cose affermato di avere compreso la gravità degli errori commessi, di avere sempre riconosciuto le proprie responsabilità e saldato interamente le pretese di risarcimento riconosciute agli accusatori privati, ciò che ha condotto la Corte ad emettere nei suoi confronti una pena relativamente modesta, peraltro sospesa condizionalmente, a dimostrazione che il giudice ha ritenuto che non vi fosse alcun pericolo di recidiva.</w:t>
      </w:r>
    </w:p>
    <w:p>
      <w:r>
        <w:rPr>
          <w:b/>
        </w:rPr>
        <w:t>E. 8.2</w:t>
      </w:r>
    </w:p>
    <w:p>
      <w:r>
        <w:t>Ora, le allegazioni del ricorrente non permettono di concludere che il rischio di recidiva sia diminuito in modo determinante. A._______ si è reso colpevole nel suo paese d'origine di ripetute infrazioni, anche molto gravi, durante un notevole lasso di tempo (17 anni), le quali hanno comportato la sua condanna ad un totale di 6 anni ed 1 mese di reclusione, poco importa se scontate solo in minima parte a seguito della concessione dell'indulto. Seppure parecchi anni più tardi, si rileva come l'interessato tra il 2 gennaio 2011 ed il 12 gennaio 2012, quindi nell'arco di circa 1 anno, si sia in particolare reso protagonista di 30 furti (di cui 2 tentati) e 26 danneggiamenti. Giova poi sottolineare che l'attività criminale del ricorrente in Svizzera ha preso fine solo a seguito del suo arresto e che nei suoi confronti era già stato emanato un decreto d'accusa e che egli era già stato incarcerato preventivamente, senza che ciò lo portasse ad abbandonare il suo comportamento delittuoso. Inoltre, l'attitudine collaborativa e il risarcimento degli accusatori privati da parte di A._______ non presentano un carattere eccezionale e non sono tali da permettere di modificare l'apprezzamento della fattispecie. Per quanto attiene infine la decisione dell'autorità penale di sospendere condizionalmente la pena occorre rammentare che, in virtù del principio della separazione dei poteri e a norma di una consolidata prassi e giurisprudenza, l'autorità amministrativa non è vincolata dalle considerazioni del giudice penale. Il Tribunale federale ha in effetti sancito che il principio secondo il quale l'autorità amministrativa, basandosi su criteri di valutazione che le sono propri, è talvolta portata a dedurre dalle stesse circostanze altre conseguenze di quelle dedotte dal giudice penale, va rispettato così come stabilito dal legislatore federale (cfr. DTF 131 II 352 consid. 4.3.2 e giurisprudenza ivi citata). Nella misura in cui l'autorità competente in materia di polizia degli stranieri non persegue il medesimo scopo di quella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delle migliore prognosi di risocializzazione, dall'altro l'autorità amministrativa si prefigge di proteggere la sicurezza e l'ordine pubblico (DTF 129 II 215 consid. 3.2 e giurisprudenza ivi citata). Tenuto conto di ciò, nonché del fatto che A._______ ha recidivato i suoi comportamenti delittuosi durante un ampio lasso di tempo, si può ritenere come nella fattispecie non sia trascorso un periodo sufficientemente lungo dalla commissione delle ultime infrazioni tale da permettere di ritenere che egli non rappresenta più un rischio per la sicurezza e l'ordine pubblici elvetici. Date le circostanze, il Tribunale constata pertanto come vi siano nella fattispecie elementi sufficientemente concreti e precisi tali da permettere di formulare una prognosi negativa sulla condotta dell'interessato.</w:t>
      </w:r>
    </w:p>
    <w:p>
      <w:r>
        <w:rPr>
          <w:b/>
        </w:rPr>
        <w:t>E. 8.3</w:t>
      </w:r>
    </w:p>
    <w:p>
      <w:r>
        <w:t>In conclusione, ne discende che A._______ costituisce tuttora una minaccia effettiva, attuale e sufficientemente grave per la società tale da legittimare l'emanazione del divieto d'entrata quale provvedimento per ragione di ordine e sicurezza pubblici ai sensi dell'art. 5 par. 1 Allegato I ALC. Inoltre non è contestato che l'interessato, alla luce delle condanna subite, possa essere l'oggetto di un divieto d'entrata previsto all'art. 67 LStr. Il diritto interno non gli è comunque più favorevole dell'Accordo (cfr. sentenza del Tribunale amministrativo federale C-4982/2010 consid. 6.4, del 18 maggio 2012).</w:t>
      </w:r>
    </w:p>
    <w:p>
      <w:r>
        <w:rPr>
          <w:b/>
        </w:rPr>
        <w:t>E. 9.1</w:t>
      </w:r>
    </w:p>
    <w:p>
      <w:r>
        <w:t>Essendo la decisione di divieto d'entrata confermata nel suo principio, resta ora da stabilire se la durata della misura di allontanamento adottata dall'UFM, prevista per un periodo di 3 anni, rispetta il principio della proporzionalità.</w:t>
      </w:r>
    </w:p>
    <w:p>
      <w:r>
        <w:rPr>
          <w:b/>
        </w:rPr>
        <w:t>E. 9.2</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sul proprio territorio per 3 anni e quello privato del ricorrente a potervi entrare. Rilevanti sono le particolarità del comportamento illecito, la situazione personale della persona interessata e la rilevanza del bene giuridico minacciato o violato (cfr. Ulrich Häfeli/Georg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tra lo scopo perseguito e la restrizione alla libertà personale che ne consegue (DFT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9.3</w:t>
      </w:r>
    </w:p>
    <w:p>
      <w:r>
        <w:t>A._______ si è reso protagonista di molteplici infrazioni durante un lasso di tempo particolarmente rilevante; tra il 1984 ed il 2001 in Italia e per tutto il 2011 in Svizzera. Sebbene i reati da esso commessi sul territorio della Confederazione abbiano un mero carattere patrimoniale il suo reiterato comportamento delittuoso non può essere ritenuto di lieve entità e gravità e la sua condotta non può certo essere minimizzata. Anche dal punto di vista penale, l'esecuzione della pena è stata sospesa condizionalmente con un periodo di prova di tre anni. Quo alla situazione personale, si constata che il centro degli interessi del ricorrente si trova in Italia, paese in cui ha sempre vissuto con la sua famiglia. Quanto ai suoi interessi privati, egli ha affermato di intrattenere legami con la Svizzera, paese in cui ha sede la B._______ di Lugano, società costituita dalla moglie nel 2011 con un cittadino elvetico con l'intenzione che fosse lui a gestirla (cfr. doc. G e H allegati al ricorso), di modo che il provvedimento emanato nei suoi confronti gli impedirebbe di dedicarsi alla stessa e tutta la sua famiglia ne risentirebbe. Ora, gli investimenti effettuati dalla moglie nella suddetta società, nonché la mera affermazione, priva di qualsiasi mezzo di prova, che A._______ avrebbe degli interessi in Svizzera a livello professionale che non potrebbe seguire in ragione del divieto d'entrata, non è sufficiente a giustificare un suo interesse privato preponderante a recarsi sul territorio della Confederazione e non sono comunque tali da dimostrare l'esistenza di vincoli particolari con il nostro Paese.</w:t>
      </w:r>
    </w:p>
    <w:p>
      <w:r>
        <w:rPr>
          <w:b/>
        </w:rPr>
        <w:t>E. 10</w:t>
      </w:r>
    </w:p>
    <w:p>
      <w:r>
        <w:t>In conclusione, tenuto conto dell'insieme degli elementi soggettivi ed oggettivi della causa, la ponderazione degli interessi in presenza conduce il Tribunale a considerare che l'interesse pubblico al mantenimento della misura di allontanamento nei confronti di A._______ prevale su quello privato di quest'ultimo a potersi recare in Svizzera senza particolari controlli e che il divieto d'entrata della durata di 3 anni è proporzionato allo scopo di protezione dell'ordine e della sicurezza pubblici ricercati con questa misura.</w:t>
      </w:r>
    </w:p>
    <w:p>
      <w:r>
        <w:rPr>
          <w:b/>
        </w:rPr>
        <w:t>E. 11</w:t>
      </w:r>
    </w:p>
    <w:p>
      <w:r>
        <w:t>Ne discende che l'UFM con decisione del 25 luglio 2012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12</w:t>
      </w:r>
    </w:p>
    <w:p>
      <w:r>
        <w:t>Visto l'esito della procedura, le spese processuali vengono poste a carico del ricorrente (art. 63 cpv. 1 PA in relazione con gli art. 1-3 del regolamento del 21 febbraio 2008 sulle tasse e sulle spese ripetibili nelle cause dinanzi al Tribunale amministrativo federale [TS-TAF; RS 173.320.2]). (dispositivo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