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C-4841/2013 vom 25. November 2013</w:t>
      </w:r>
    </w:p>
    <w:p>
      <w:r>
        <w:t>Bundesverwaltungsgericht, 2013-11-25, DE</w:t>
      </w:r>
    </w:p>
    <w:p>
      <w:r>
        <w:rPr>
          <w:b/>
        </w:rPr>
        <w:t xml:space="preserve">Quelle: </w:t>
      </w:r>
      <w:r>
        <w:t>https://mcp.opencaselaw.ch/entscheid/bvger_C-4841_2013</w:t>
      </w:r>
    </w:p>
    <w:p>
      <w:r>
        <w:t>FR: TAF C-4841/2013 du 25 novembre 2013</w:t>
      </w:r>
    </w:p>
    <w:p>
      <w:r>
        <w:t>IT: TAF C-4841/2013 del 25 novembre 2013</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Bst. i VGG. Eine Ausnahme im Sinne von Art. 32 VGG liegt in casu nicht vor.</w:t>
      </w:r>
    </w:p>
    <w:p>
      <w:r>
        <w:rPr>
          <w:b/>
        </w:rPr>
        <w:t>E. 1.2</w:t>
      </w:r>
    </w:p>
    <w:p>
      <w:r>
        <w:t>Eine Beschwerde kann auch erhoben werden, wenn die Vorinstanz den Erlass einer anfechtbaren Verfügung unrechtmässig verweigert oder verzögert (Art. 46a VwVG). Voraussetzung ist, dass der Rechtssuchende vorgängig bei der zuständigen Behörde ein Begehren um Erlass einer Verfügung gestellt bzw. dieses Begehren bei Verzögerung wiederholt hat. Zudem muss ein Anspruch auf Erlass einer Verfügung bestehen (André Moser/Michael Beusch/Lorenz Kneubühler, Prozessieren vor dem Bundesverwaltungsgericht, Basel 2008, S. 241 Rz. 5.20).</w:t>
      </w:r>
    </w:p>
    <w:p>
      <w:r>
        <w:rPr>
          <w:b/>
        </w:rPr>
        <w:t>E. 1.3</w:t>
      </w:r>
    </w:p>
    <w:p>
      <w:r>
        <w:t>Die Rechtsverweigerungs- oder Rechtsverzögerungsbeschwerde richtet sich an die Beschwerdeinstanz, die zuständig wäre, wenn die Verfügung ordnungsbemäss ergangen wäre (BVGE 2008/15 E. 3.1.1; Botschaft des Bundesrates zur Totalrevision der Bundesrechtspflege vom 28. Februar 2001, BBl 2001 4408; vgl. auch Urteil des Bundesverwaltungsgerichts C-2946/2008 vom 21. Juni 2011 E. 1.1). Das Bundesverwaltungsgericht ist demnach im vorliegenden Fall zuständig.</w:t>
      </w:r>
    </w:p>
    <w:p>
      <w:r>
        <w:rPr>
          <w:b/>
        </w:rPr>
        <w:t>E. 2.1</w:t>
      </w:r>
    </w:p>
    <w:p>
      <w:r>
        <w:t>Vorab ist strittig und zu prüfen, ob mit dem Schreiben der Vorinstanz vom 8. August 2013 eine Verfügung vorliegt und mithin ein Anfechtungsobjekt gegeben ist. Für das Vorliegen einer Verfügung ist nicht massgebend, ob sie als solche gekennzeichnet ist oder den gesetzlichen Formvorschriften für eine Verfügung entspricht. Massgebend ist vielmehr, ob die Strukturmerkmale einer Verfügung vorhanden sind (Pierre Tschannen/Ulrich Zimmerli, Allgemeines Verwaltungsrecht, 2. Aufl., Bern 2005, § 29 Rz. 3). Eine Verfügung liegt demnach vor, wenn eine Verwaltungshandlung die folgenden Merkmale erfüllt: Es handelt sich um eine Anordnung einer Behörde im Einzelfall, die ein Rechtsverhältnis einseitig und verbindlich regelt und sich auf öffentliches Recht des Bundes stützt (Tschannen/Zimmerli, a.a.O., § 28 Rz. 17; Urteile des Bundesverwaltungsgerichts A-2040/2006 vom 17. April 2007 E. 2.2.3, und A-7368/2006 vom 10. Juli 2007 E. 1.2). Eine anfechtbare Verfügung liegt namentlich auch dann vor, wenn die Behörde auf ein Begehren auf Begründung, Änderung, Aufhebung oder Feststellung von Rechten und Pflichten nicht eintritt (Art. 5 Abs. 1 Bst. c VwVG) oder das Eintreten auf ein Begehren wegen Fehlens von Prozessvoraussetzungen ausdrücklich abgelehnt hat (vgl. Alfred Kölz/Isabelle Häner/Martin Bertschi, Verwaltungsverfahren und Verwaltungsrechtspflege des Bundes, 3. Aufl., Zürich 2013, Rz. 1304 S. 445).</w:t>
      </w:r>
    </w:p>
    <w:p>
      <w:r>
        <w:rPr>
          <w:b/>
        </w:rPr>
        <w:t>E. 2.2</w:t>
      </w:r>
    </w:p>
    <w:p>
      <w:r>
        <w:t>Wohl ist das Schreiben der Vorinstanz vom 8. August 2013 weder als Verfügung bezeichnet, noch beinhaltet es eine Rechtsmittelbelehrung. Trotzdem erfüllt es die materiellen Voraussetzungen einer Verfügung: Es bezieht sich auf einen konkreten Einzelfall, nämlich auf die Anzeige des Beschwerdeführers vom 22. Juli 2013, die sie entgegen genommen und behandelt hat. Im Ergebnis ist die Vorinstanz materiell nicht auf die Begehren im Einzelnen eingegangen. Dies mit der zwar knappen aber ausreichenden Begründung, dem Beschwerdeführer fehle die Legitimation (und mithin eine Prozessvoraussetzung), um mittels Aufsichtsbeschwerde gemäss Art. 61 ff. BVG an die Aufsichtsbehörde zu gelangen (vgl. hierzu BGE 119 V195 E. 3b/aa mit Hinweis auf BGE 112 Ia 180 E. 3d, ebenso Isabelle Vetter-Schreiber, BVG/FZG Kommentar, 3. Aufl., Zürich 2013, ad Art. 62 BVG N. 15 - 17, S. 236). Diesen Standpunkt hat die Vorinstanz ebenfalls in ihrer Vernehmlassung vom 29. Oktober 2013 vertreten und näher dargelegt. Damit hat die Vorinstanz ein Rechtsverhältnis einseitig und verbindlich geregelt und sich auf öffentliches Recht des Bundes gestützt. Dass die Vorinstanz sich ferner kurz über ihre aufsichtsrechtliche Sicht der Pensionskasse äusserte, kann als allgemeine Antwort an den Beschwerdeführer auf seine Anliegen gewertet werden.</w:t>
      </w:r>
    </w:p>
    <w:p>
      <w:r>
        <w:rPr>
          <w:b/>
        </w:rPr>
        <w:t>E. 3.1</w:t>
      </w:r>
    </w:p>
    <w:p>
      <w:r>
        <w:t>Anfechtungsobjekt einer Rechtsverweigerungs- und Rechtsverzögerungsbeschwerde gemäss Art. 46a VwVG ist wie erwähnt nicht eine Verfügung im Sinne von Art. 5 VwVG, sondern das unrechtmässige Verweigern oder Verzögern einer Verfügung, was dem Erlass einer anfechtbaren Verfügung gleichzusetzen ist (vgl. Markus Müller, in: Auer/Müller/Schindler [Hrsg.], Kommentar zum Bundesgesetz über das Verwaltungsverfahren [VwVG], Zürich 2008, Rz. 7 zu Art. 46a). Ziel der Rechtsverweigerungs- beziehungsweise Rechtsverzögerungsbeschwerde ist es, die säumige Behörde zu einem aktiven Handeln zu bewegen (vgl. Müller, a.a.O., Rz. 7 zu Art. 46a). Hierin liegt auch das schutzwürdige Interesse im Sinne von Art. 48 Abs. 1 VwVG, das einen Beschwerdeführenden zur Beschwerde legitimiert (ebenso Kölz/Häner/Bertschi, a.a.O., Rz. 1302 S. 445).</w:t>
      </w:r>
    </w:p>
    <w:p>
      <w:r>
        <w:rPr>
          <w:b/>
        </w:rPr>
        <w:t>E. 3.2</w:t>
      </w:r>
    </w:p>
    <w:p>
      <w:r>
        <w:t>Hat eine Behörde den angeblich verzögerten Verwaltungsakt im Zeitpunkt der Beschwerdeeinreichung bereits erlassen, so besteht an einer Beschwerdeführung kein aktuelles Rechtsschutzinteresse mehr, und auf die nachträglich eingereichte Rechtsverzögerungsbeschwerde ist nicht einzutreten (vgl. Müller, a.a.O., Rz. 11 zu Art. 46a).</w:t>
      </w:r>
    </w:p>
    <w:p>
      <w:r>
        <w:rPr>
          <w:b/>
        </w:rPr>
        <w:t>E. 3.3</w:t>
      </w:r>
    </w:p>
    <w:p>
      <w:r>
        <w:t>Im vorliegenden Fall hatte die Vorinstanz wie dargelegt (vorne E. 2.2) im Zeitpunkt der Beschwerdeeinreichung den angeblich verweigerten Verwaltungsakt bereits erlassen. Der Beschwerdeführer geht somit fehl, wenn er die Verweigerung einer Nichteintretensverfügung rügt, und auf seine Beschwerde wäre daher insoweit nicht einzutreten.</w:t>
      </w:r>
    </w:p>
    <w:p>
      <w:r>
        <w:rPr>
          <w:b/>
        </w:rPr>
        <w:t>E. 3.4</w:t>
      </w:r>
    </w:p>
    <w:p>
      <w:r>
        <w:t>Hier hat der Beschwerdeführer jedoch den Erlass einer förmlichen Nichteintretensverfügung durch die Vorinstanz mit Rechtsmittelbelehrung in der Absicht verlangt, um ihren Entscheid materiell mittels Beschwerde anzufechten zu können (vgl. Beschwerdeschrift). Obwohl das angefochtene Schreiben der Vorinstanz vom 8. August 2013 wie dargelegt (vorne E. 2.2) in diesem Sinne eine Verfügung darstellt, darf ihm durch die fehlende Rechtsmittelbelehrung kein Nachteil hinsichtlich seiner Rechtsmittelmöglichkeiten, insbesondere der Wahrung der Rechtsmittelfristen, entstehen. Daher rechtfertigt es sich, in Gutheissung der Beschwerde die Sache an die Vorinstanz zurückzuweisen, damit diese eine Verfügung mit Rechtsmittelbelehrung über ihr Nichteintreten auf die Aufsichtsbeschwerde erlasse.</w:t>
      </w:r>
    </w:p>
    <w:p>
      <w:r>
        <w:rPr>
          <w:b/>
        </w:rPr>
        <w:t>E. 4</w:t>
      </w:r>
    </w:p>
    <w:p>
      <w:r>
        <w:t>Zu befinden bleibt über die Verfahrenskosten und über eine allfällige Par-teientschädigung.</w:t>
      </w:r>
    </w:p>
    <w:p>
      <w:r>
        <w:rPr>
          <w:b/>
        </w:rPr>
        <w:t>E. 4.1</w:t>
      </w:r>
    </w:p>
    <w:p>
      <w:r>
        <w:t>Die Verfahrenskosten werden in der Regel der unterliegenden Partei auferlegt (Art. 63 Abs. 1 VwVG). Der Vorinstanz sind keine Verfahrenskosten aufzuerlegen (Art. 63 Abs. 2 VwVG). Dem obsiegenden Beschwerdeführer ist der von ihm geleistete Kostenvorschuss in der Höhe von Fr. 1'000.- nach Eintritt der Rechtskraft des vorliegenden Urteils zurückzuerstatten.</w:t>
      </w:r>
    </w:p>
    <w:p>
      <w:r>
        <w:rPr>
          <w:b/>
        </w:rPr>
        <w:t>E. 4.2</w:t>
      </w:r>
    </w:p>
    <w:p>
      <w:r>
        <w:t>Der obsiegende Beschwerdeführer ist nicht anwaltlich vertreten und es sind ihm keine notwendigen und verhältnismässig hohen Kosten entstanden, weshalb keine Parteientschädigung zuzusprechen ist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